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4AFB6" w14:textId="44584930" w:rsidR="00172FCF" w:rsidRPr="00C8471B" w:rsidRDefault="00172FCF" w:rsidP="0034493E">
      <w:pPr>
        <w:pStyle w:val="Heading2"/>
        <w:jc w:val="center"/>
        <w:rPr>
          <w:rFonts w:ascii="Times New Roman" w:hAnsi="Times New Roman"/>
          <w:b/>
          <w:bCs/>
          <w:sz w:val="22"/>
          <w:szCs w:val="22"/>
          <w:lang w:val="ro-RO"/>
        </w:rPr>
      </w:pPr>
      <w:bookmarkStart w:id="0" w:name="_Toc242850103"/>
      <w:bookmarkStart w:id="1" w:name="_Toc423337018"/>
      <w:r w:rsidRPr="00C8471B">
        <w:rPr>
          <w:rFonts w:ascii="Times New Roman" w:hAnsi="Times New Roman"/>
          <w:b/>
          <w:bCs/>
          <w:caps w:val="0"/>
          <w:sz w:val="22"/>
          <w:szCs w:val="22"/>
          <w:lang w:val="ro-RO"/>
        </w:rPr>
        <w:t xml:space="preserve">ANEXA 8. </w:t>
      </w:r>
      <w:bookmarkEnd w:id="0"/>
      <w:bookmarkEnd w:id="1"/>
    </w:p>
    <w:p w14:paraId="60D59F2C" w14:textId="21796D7B" w:rsidR="00CB6872" w:rsidRPr="00C8471B" w:rsidRDefault="00CB6872" w:rsidP="00CB6872">
      <w:pPr>
        <w:jc w:val="center"/>
        <w:rPr>
          <w:rFonts w:ascii="Times New Roman" w:hAnsi="Times New Roman"/>
          <w:lang w:val="ro-RO"/>
        </w:rPr>
      </w:pPr>
      <w:r w:rsidRPr="00C8471B">
        <w:rPr>
          <w:rFonts w:ascii="Times New Roman" w:hAnsi="Times New Roman"/>
          <w:lang w:val="ro-RO"/>
        </w:rPr>
        <w:t xml:space="preserve">Indicații </w:t>
      </w:r>
      <w:r w:rsidR="004C725E">
        <w:rPr>
          <w:rFonts w:ascii="Times New Roman" w:hAnsi="Times New Roman"/>
          <w:lang w:val="ro-RO"/>
        </w:rPr>
        <w:t>elaborare s</w:t>
      </w:r>
      <w:r w:rsidR="0018315F">
        <w:rPr>
          <w:rFonts w:ascii="Times New Roman" w:hAnsi="Times New Roman"/>
          <w:lang w:val="ro-RO"/>
        </w:rPr>
        <w:t>tu</w:t>
      </w:r>
      <w:r w:rsidR="00217F1C">
        <w:rPr>
          <w:rFonts w:ascii="Times New Roman" w:hAnsi="Times New Roman"/>
          <w:lang w:val="ro-RO"/>
        </w:rPr>
        <w:t>diu</w:t>
      </w:r>
      <w:r w:rsidR="0018315F">
        <w:rPr>
          <w:rFonts w:ascii="Times New Roman" w:hAnsi="Times New Roman"/>
          <w:lang w:val="ro-RO"/>
        </w:rPr>
        <w:t xml:space="preserve"> de fezabilitate</w:t>
      </w:r>
    </w:p>
    <w:p w14:paraId="7E4854D0" w14:textId="77777777" w:rsidR="00172FCF" w:rsidRPr="00C8471B" w:rsidRDefault="00172FCF" w:rsidP="000522AB">
      <w:pPr>
        <w:jc w:val="both"/>
        <w:rPr>
          <w:rFonts w:ascii="Times New Roman" w:hAnsi="Times New Roman"/>
          <w:lang w:val="ro-RO"/>
        </w:rPr>
      </w:pPr>
    </w:p>
    <w:p w14:paraId="44B1C5B6" w14:textId="6EE50F67" w:rsidR="00CD7D09" w:rsidRDefault="00CD7D09" w:rsidP="000522AB">
      <w:pPr>
        <w:jc w:val="both"/>
        <w:rPr>
          <w:rFonts w:ascii="Times New Roman" w:hAnsi="Times New Roman"/>
          <w:b/>
          <w:lang w:val="ro-RO"/>
        </w:rPr>
      </w:pPr>
      <w:r>
        <w:rPr>
          <w:rFonts w:ascii="Times New Roman" w:hAnsi="Times New Roman"/>
          <w:b/>
          <w:lang w:val="ro-RO"/>
        </w:rPr>
        <w:t>OPIS</w:t>
      </w:r>
    </w:p>
    <w:p w14:paraId="3C1E28B8" w14:textId="475317E9" w:rsidR="00CD7D09" w:rsidRDefault="00172FCF" w:rsidP="000522AB">
      <w:pPr>
        <w:jc w:val="both"/>
        <w:rPr>
          <w:rFonts w:ascii="Times New Roman" w:hAnsi="Times New Roman"/>
          <w:b/>
          <w:lang w:val="ro-RO"/>
        </w:rPr>
      </w:pPr>
      <w:r w:rsidRPr="009A4A73">
        <w:rPr>
          <w:rFonts w:ascii="Times New Roman" w:hAnsi="Times New Roman"/>
          <w:b/>
          <w:lang w:val="ro-RO"/>
        </w:rPr>
        <w:t>A. Piese scrise</w:t>
      </w:r>
    </w:p>
    <w:p w14:paraId="2510C22D" w14:textId="6C0CEFA9" w:rsidR="00172FCF" w:rsidRPr="009A4A73" w:rsidRDefault="00172FCF" w:rsidP="000522AB">
      <w:pPr>
        <w:jc w:val="both"/>
        <w:rPr>
          <w:rFonts w:ascii="Times New Roman" w:hAnsi="Times New Roman"/>
          <w:b/>
          <w:lang w:val="ro-RO"/>
        </w:rPr>
      </w:pPr>
      <w:r w:rsidRPr="009A4A73">
        <w:rPr>
          <w:rFonts w:ascii="Times New Roman" w:hAnsi="Times New Roman"/>
          <w:lang w:val="ro-RO"/>
        </w:rPr>
        <w:t xml:space="preserve">    </w:t>
      </w:r>
      <w:r w:rsidRPr="009A4A73">
        <w:rPr>
          <w:rFonts w:ascii="Times New Roman" w:hAnsi="Times New Roman"/>
          <w:b/>
          <w:lang w:val="ro-RO"/>
        </w:rPr>
        <w:t>Date generale:</w:t>
      </w:r>
    </w:p>
    <w:p w14:paraId="0EF5F86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1. denumirea obiectivului de investiţii;</w:t>
      </w:r>
    </w:p>
    <w:p w14:paraId="0D47B99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2. amplasamentul (judeţul, localitatea, strada, numărul);</w:t>
      </w:r>
    </w:p>
    <w:p w14:paraId="13A7FA2D"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3. titularul investiţiei;</w:t>
      </w:r>
    </w:p>
    <w:p w14:paraId="2E3550C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4. beneficiarul investiţiei;</w:t>
      </w:r>
    </w:p>
    <w:p w14:paraId="4E6910F3"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5. elaboratorul studiului.</w:t>
      </w:r>
    </w:p>
    <w:p w14:paraId="2FBC23A1" w14:textId="0A79F536" w:rsidR="00172FCF" w:rsidRPr="00ED3410" w:rsidRDefault="00172FCF" w:rsidP="000522AB">
      <w:pPr>
        <w:jc w:val="both"/>
        <w:rPr>
          <w:rFonts w:ascii="Times New Roman" w:hAnsi="Times New Roman"/>
          <w:lang w:val="ro-RO"/>
        </w:rPr>
      </w:pPr>
      <w:r w:rsidRPr="009A4A73">
        <w:rPr>
          <w:rFonts w:ascii="Times New Roman" w:hAnsi="Times New Roman"/>
          <w:lang w:val="ro-RO"/>
        </w:rPr>
        <w:t xml:space="preserve">   </w:t>
      </w:r>
      <w:r w:rsidR="00DD4C9E">
        <w:rPr>
          <w:rFonts w:ascii="Times New Roman" w:hAnsi="Times New Roman"/>
          <w:lang w:val="ro-RO"/>
        </w:rPr>
        <w:t xml:space="preserve">Lista </w:t>
      </w:r>
      <w:r w:rsidR="00DD4C9E" w:rsidRPr="00ED3410">
        <w:rPr>
          <w:rFonts w:ascii="Times New Roman" w:hAnsi="Times New Roman"/>
          <w:lang w:val="ro-RO"/>
        </w:rPr>
        <w:t>completă a abrevierilor</w:t>
      </w:r>
    </w:p>
    <w:p w14:paraId="5FAF99CC"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 xml:space="preserve"> Informaţii generale privind proiectul</w:t>
      </w:r>
    </w:p>
    <w:p w14:paraId="6EAC1DCB"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1. Situaţia actuală şi informaţii despre entitatea responsabilă cu implementarea proiectului;</w:t>
      </w:r>
    </w:p>
    <w:p w14:paraId="5BFFEA28"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2. Descrierea investiţiei:</w:t>
      </w:r>
    </w:p>
    <w:p w14:paraId="03C6F2A7" w14:textId="77777777" w:rsidR="00172FCF" w:rsidRPr="00ED3410" w:rsidRDefault="00172FCF" w:rsidP="00B54E51">
      <w:pPr>
        <w:pStyle w:val="ListParagraph"/>
        <w:numPr>
          <w:ilvl w:val="0"/>
          <w:numId w:val="10"/>
        </w:numPr>
        <w:jc w:val="both"/>
        <w:rPr>
          <w:rFonts w:ascii="Times New Roman" w:hAnsi="Times New Roman"/>
          <w:lang w:val="ro-RO"/>
        </w:rPr>
      </w:pPr>
      <w:r w:rsidRPr="00ED3410">
        <w:rPr>
          <w:rFonts w:ascii="Times New Roman" w:hAnsi="Times New Roman"/>
          <w:lang w:val="ro-RO"/>
        </w:rPr>
        <w:t>Necesitatea şi oportunitatea promovării investiţiei;</w:t>
      </w:r>
    </w:p>
    <w:p w14:paraId="02579649" w14:textId="293D68D3" w:rsidR="00172FCF" w:rsidRPr="00ED3410" w:rsidRDefault="00172FCF" w:rsidP="0052431E">
      <w:pPr>
        <w:pStyle w:val="ListParagraph"/>
        <w:numPr>
          <w:ilvl w:val="0"/>
          <w:numId w:val="10"/>
        </w:numPr>
        <w:jc w:val="both"/>
        <w:rPr>
          <w:rFonts w:ascii="Times New Roman" w:hAnsi="Times New Roman"/>
          <w:lang w:val="ro-RO"/>
        </w:rPr>
      </w:pPr>
      <w:r w:rsidRPr="00ED3410">
        <w:rPr>
          <w:rFonts w:ascii="Times New Roman" w:hAnsi="Times New Roman"/>
          <w:lang w:val="ro-RO"/>
        </w:rPr>
        <w:t>Analiza consumului energetic</w:t>
      </w:r>
      <w:r w:rsidR="00B54E51" w:rsidRPr="00ED3410">
        <w:rPr>
          <w:rFonts w:ascii="Times New Roman" w:hAnsi="Times New Roman"/>
          <w:lang w:val="ro-RO"/>
        </w:rPr>
        <w:t xml:space="preserve"> î</w:t>
      </w:r>
      <w:r w:rsidRPr="00ED3410">
        <w:rPr>
          <w:rFonts w:ascii="Times New Roman" w:hAnsi="Times New Roman"/>
          <w:lang w:val="ro-RO"/>
        </w:rPr>
        <w:t xml:space="preserve">nainte de implementarea proiectului </w:t>
      </w:r>
      <w:r w:rsidR="00B54E51" w:rsidRPr="00ED3410">
        <w:rPr>
          <w:rFonts w:ascii="Times New Roman" w:hAnsi="Times New Roman"/>
          <w:lang w:val="ro-RO"/>
        </w:rPr>
        <w:t>și previziuni după</w:t>
      </w:r>
      <w:r w:rsidRPr="00ED3410">
        <w:rPr>
          <w:rFonts w:ascii="Times New Roman" w:hAnsi="Times New Roman"/>
          <w:lang w:val="ro-RO"/>
        </w:rPr>
        <w:t xml:space="preserve"> implementarea proiectului,</w:t>
      </w:r>
      <w:r w:rsidR="00AD7CA8" w:rsidRPr="00AD7CA8">
        <w:rPr>
          <w:rFonts w:ascii="Times New Roman" w:hAnsi="Times New Roman"/>
          <w:i/>
          <w:iCs/>
          <w:lang w:val="ro-RO"/>
        </w:rPr>
        <w:t xml:space="preserve"> </w:t>
      </w:r>
      <w:r w:rsidR="00AD7CA8" w:rsidRPr="00ED3410">
        <w:rPr>
          <w:rFonts w:ascii="Times New Roman" w:hAnsi="Times New Roman"/>
          <w:lang w:val="ro-RO"/>
        </w:rPr>
        <w:t>pierderile cunoscute în consumul de energie, dificultati de determinare prin masuratori, la ultimul audit energ</w:t>
      </w:r>
      <w:r w:rsidR="0018315F" w:rsidRPr="00ED3410">
        <w:rPr>
          <w:rFonts w:ascii="Times New Roman" w:hAnsi="Times New Roman"/>
          <w:lang w:val="ro-RO"/>
        </w:rPr>
        <w:t>e</w:t>
      </w:r>
      <w:r w:rsidR="00AD7CA8" w:rsidRPr="00ED3410">
        <w:rPr>
          <w:rFonts w:ascii="Times New Roman" w:hAnsi="Times New Roman"/>
          <w:lang w:val="ro-RO"/>
        </w:rPr>
        <w:t xml:space="preserve">tic realizat, datorate componenţei si performantelor actualului sistem de monitorizare), </w:t>
      </w:r>
      <w:r w:rsidRPr="0018315F">
        <w:rPr>
          <w:rFonts w:ascii="Times New Roman" w:hAnsi="Times New Roman"/>
          <w:lang w:val="ro-RO"/>
        </w:rPr>
        <w:t xml:space="preserve"> </w:t>
      </w:r>
      <w:r w:rsidRPr="00ED3410">
        <w:rPr>
          <w:rFonts w:ascii="Times New Roman" w:hAnsi="Times New Roman"/>
          <w:lang w:val="ro-RO"/>
        </w:rPr>
        <w:t>estimarea economiilor de energie care ar putea fi ob</w:t>
      </w:r>
      <w:r w:rsidR="00B54E51" w:rsidRPr="00ED3410">
        <w:rPr>
          <w:rFonts w:ascii="Times New Roman" w:hAnsi="Times New Roman"/>
          <w:lang w:val="ro-RO"/>
        </w:rPr>
        <w:t>ț</w:t>
      </w:r>
      <w:r w:rsidRPr="00ED3410">
        <w:rPr>
          <w:rFonts w:ascii="Times New Roman" w:hAnsi="Times New Roman"/>
          <w:lang w:val="ro-RO"/>
        </w:rPr>
        <w:t xml:space="preserve">inute după 5 ani de la finalizarea proiectului </w:t>
      </w:r>
      <w:r w:rsidR="00BE5B68" w:rsidRPr="00ED3410">
        <w:rPr>
          <w:rFonts w:ascii="Times New Roman" w:hAnsi="Times New Roman"/>
          <w:lang w:val="ro-RO"/>
        </w:rPr>
        <w:t>atât prin măsuri non-cost, cât și prin investiții ulterioare realizate de beneficiar;</w:t>
      </w:r>
      <w:r w:rsidR="0052431E" w:rsidRPr="00ED3410">
        <w:rPr>
          <w:rFonts w:ascii="Times New Roman" w:hAnsi="Times New Roman"/>
          <w:lang w:val="ro-RO"/>
        </w:rPr>
        <w:t xml:space="preserve"> se va realiza analiza cererii pentru energia consumată din perspectiva activității solicitantului și se va evidenția vârful de consum; variația zilnică și sezonieră a consumului;</w:t>
      </w:r>
    </w:p>
    <w:p w14:paraId="752D2909" w14:textId="0B1B726D" w:rsidR="00887A5B" w:rsidRPr="0018315F" w:rsidRDefault="00887A5B" w:rsidP="0052431E">
      <w:pPr>
        <w:pStyle w:val="ListParagraph"/>
        <w:numPr>
          <w:ilvl w:val="0"/>
          <w:numId w:val="10"/>
        </w:numPr>
        <w:jc w:val="both"/>
        <w:rPr>
          <w:rFonts w:ascii="Times New Roman" w:hAnsi="Times New Roman"/>
          <w:lang w:val="fr-FR"/>
        </w:rPr>
      </w:pPr>
      <w:r w:rsidRPr="00ED3410">
        <w:rPr>
          <w:rFonts w:ascii="Times New Roman" w:hAnsi="Times New Roman"/>
          <w:lang w:val="ro-RO"/>
        </w:rPr>
        <w:t>Analiza factorilor care influențează consumul de energie</w:t>
      </w:r>
      <w:r w:rsidR="00AD7CA8" w:rsidRPr="00ED3410">
        <w:rPr>
          <w:rFonts w:ascii="Times New Roman" w:hAnsi="Times New Roman"/>
          <w:i/>
          <w:sz w:val="20"/>
          <w:szCs w:val="20"/>
          <w:lang w:val="fr-FR"/>
        </w:rPr>
        <w:t xml:space="preserve"> </w:t>
      </w:r>
      <w:r w:rsidRPr="0018315F">
        <w:rPr>
          <w:rFonts w:ascii="Times New Roman" w:hAnsi="Times New Roman"/>
          <w:lang w:val="fr-FR"/>
        </w:rPr>
        <w:t>(deciziile politicie, sistemul de subvenții, cerințele de mediu, calitatea sistemului energetic etc.)</w:t>
      </w:r>
    </w:p>
    <w:p w14:paraId="608C3927" w14:textId="77777777" w:rsidR="00887A5B" w:rsidRPr="00ED3410" w:rsidRDefault="00887A5B" w:rsidP="00887A5B">
      <w:pPr>
        <w:pStyle w:val="ListParagraph"/>
        <w:numPr>
          <w:ilvl w:val="0"/>
          <w:numId w:val="10"/>
        </w:numPr>
        <w:jc w:val="both"/>
        <w:rPr>
          <w:rFonts w:ascii="Times New Roman" w:hAnsi="Times New Roman"/>
          <w:lang w:val="ro-RO"/>
        </w:rPr>
      </w:pPr>
      <w:r w:rsidRPr="00ED3410">
        <w:rPr>
          <w:rFonts w:ascii="Times New Roman" w:hAnsi="Times New Roman"/>
          <w:lang w:val="ro-RO"/>
        </w:rPr>
        <w:t xml:space="preserve">Descrierea constructivă, </w:t>
      </w:r>
      <w:r w:rsidRPr="00C8471B">
        <w:rPr>
          <w:rFonts w:ascii="Times New Roman" w:hAnsi="Times New Roman"/>
          <w:iCs/>
          <w:lang w:val="ro-RO"/>
        </w:rPr>
        <w:t>funcţională şi tehnologică</w:t>
      </w:r>
      <w:r w:rsidR="00B4479F" w:rsidRPr="00C8471B">
        <w:rPr>
          <w:rFonts w:ascii="Times New Roman" w:hAnsi="Times New Roman"/>
          <w:iCs/>
          <w:lang w:val="ro-RO"/>
        </w:rPr>
        <w:t xml:space="preserve"> (structura rețelei eletrice și de transport / distribuție la nivelul sistemului; sursa de combustibil utilizată; pierderile cunoscute în consumul de energie ș.a.)</w:t>
      </w:r>
      <w:r w:rsidRPr="00C8471B">
        <w:rPr>
          <w:rFonts w:ascii="Times New Roman" w:hAnsi="Times New Roman"/>
          <w:iCs/>
          <w:lang w:val="ro-RO"/>
        </w:rPr>
        <w:t>, după caz, inclusiv schema electrică monofilară completă a aparaturii și instalației aferente sistemului de monitorizare a consumului de energie propus prin proiect.</w:t>
      </w:r>
    </w:p>
    <w:p w14:paraId="7E7979E3" w14:textId="4F38CB65" w:rsidR="00B54E51" w:rsidRPr="00ED3410" w:rsidRDefault="00B60C56" w:rsidP="00B54E51">
      <w:pPr>
        <w:pStyle w:val="ListParagraph"/>
        <w:numPr>
          <w:ilvl w:val="0"/>
          <w:numId w:val="10"/>
        </w:numPr>
        <w:jc w:val="both"/>
        <w:rPr>
          <w:rFonts w:ascii="Times New Roman" w:hAnsi="Times New Roman"/>
          <w:lang w:val="ro-RO"/>
        </w:rPr>
      </w:pPr>
      <w:r w:rsidRPr="00ED3410">
        <w:rPr>
          <w:rFonts w:ascii="Times New Roman" w:hAnsi="Times New Roman"/>
          <w:lang w:val="ro-RO"/>
        </w:rPr>
        <w:t>S</w:t>
      </w:r>
      <w:r w:rsidR="00B54E51" w:rsidRPr="00ED3410">
        <w:rPr>
          <w:rFonts w:ascii="Times New Roman" w:hAnsi="Times New Roman"/>
          <w:lang w:val="ro-RO"/>
        </w:rPr>
        <w:t>cenariile tehnico-</w:t>
      </w:r>
      <w:r w:rsidR="00B54E51" w:rsidRPr="0018315F">
        <w:rPr>
          <w:rFonts w:ascii="Times New Roman" w:hAnsi="Times New Roman"/>
          <w:lang w:val="ro-RO"/>
        </w:rPr>
        <w:t xml:space="preserve">economice </w:t>
      </w:r>
      <w:r w:rsidR="00D61C9E" w:rsidRPr="0018315F">
        <w:rPr>
          <w:rFonts w:ascii="Times New Roman" w:hAnsi="Times New Roman"/>
          <w:lang w:val="ro-RO"/>
        </w:rPr>
        <w:t xml:space="preserve">alternative </w:t>
      </w:r>
      <w:r w:rsidR="00B54E51" w:rsidRPr="0018315F">
        <w:rPr>
          <w:rFonts w:ascii="Times New Roman" w:hAnsi="Times New Roman"/>
          <w:lang w:val="ro-RO"/>
        </w:rPr>
        <w:t>prin care</w:t>
      </w:r>
      <w:r w:rsidR="00D61C9E" w:rsidRPr="0018315F">
        <w:rPr>
          <w:rFonts w:ascii="Times New Roman" w:hAnsi="Times New Roman"/>
          <w:lang w:val="ro-RO"/>
        </w:rPr>
        <w:t xml:space="preserve"> pot fi atinse </w:t>
      </w:r>
      <w:r w:rsidR="00B54E51" w:rsidRPr="00ED3410">
        <w:rPr>
          <w:rFonts w:ascii="Times New Roman" w:hAnsi="Times New Roman"/>
          <w:lang w:val="ro-RO"/>
        </w:rPr>
        <w:t xml:space="preserve">obiectivele proiectului </w:t>
      </w:r>
      <w:r w:rsidRPr="00ED3410">
        <w:rPr>
          <w:rFonts w:ascii="Times New Roman" w:hAnsi="Times New Roman"/>
          <w:lang w:val="ro-RO"/>
        </w:rPr>
        <w:t>(minim două opțiuni</w:t>
      </w:r>
      <w:r w:rsidR="00D61C9E" w:rsidRPr="00D61C9E">
        <w:rPr>
          <w:rFonts w:ascii="Times New Roman" w:hAnsi="Times New Roman"/>
          <w:lang w:val="ro-RO"/>
        </w:rPr>
        <w:t xml:space="preserve"> </w:t>
      </w:r>
      <w:r w:rsidRPr="00ED3410">
        <w:rPr>
          <w:rFonts w:ascii="Times New Roman" w:hAnsi="Times New Roman"/>
          <w:lang w:val="ro-RO"/>
        </w:rPr>
        <w:t>)</w:t>
      </w:r>
      <w:r w:rsidR="00BE5B68" w:rsidRPr="00ED3410">
        <w:rPr>
          <w:rFonts w:ascii="Times New Roman" w:hAnsi="Times New Roman"/>
          <w:lang w:val="ro-RO"/>
        </w:rPr>
        <w:t>;</w:t>
      </w:r>
    </w:p>
    <w:p w14:paraId="1545E8D0"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3. Date tehnice ale investiţiei:</w:t>
      </w:r>
    </w:p>
    <w:p w14:paraId="3601240B"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zona şi amplasamentul;</w:t>
      </w:r>
    </w:p>
    <w:p w14:paraId="64D0817A"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statutul juridic al terenului care urmează să fie ocupat;</w:t>
      </w:r>
    </w:p>
    <w:p w14:paraId="2E040A1A"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situaţia ocupărilor definitive de teren: suprafaţa totală, reprezentând terenuri din intravilan/extravilan;</w:t>
      </w:r>
    </w:p>
    <w:p w14:paraId="6C0446AF" w14:textId="77777777" w:rsidR="00B60C56"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lastRenderedPageBreak/>
        <w:t>studii de teren, după caz;</w:t>
      </w:r>
    </w:p>
    <w:p w14:paraId="7B188D19"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alte studii de specialitate necesare, după caz</w:t>
      </w:r>
      <w:r w:rsidR="00D61C9E" w:rsidRPr="00D61C9E">
        <w:rPr>
          <w:rFonts w:ascii="Times New Roman" w:hAnsi="Times New Roman"/>
          <w:lang w:val="ro-RO"/>
        </w:rPr>
        <w:t xml:space="preserve"> </w:t>
      </w:r>
      <w:r w:rsidR="00D61C9E" w:rsidRPr="00D61C9E">
        <w:rPr>
          <w:rFonts w:ascii="Times New Roman" w:hAnsi="Times New Roman"/>
          <w:lang w:val="fr-FR"/>
        </w:rPr>
        <w:t>(</w:t>
      </w:r>
      <w:r w:rsidR="00D61C9E" w:rsidRPr="0018315F">
        <w:rPr>
          <w:rFonts w:ascii="Times New Roman" w:hAnsi="Times New Roman"/>
          <w:lang w:val="fr-FR"/>
        </w:rPr>
        <w:t>ultimul audit energetic predat la ANRE)</w:t>
      </w:r>
      <w:r w:rsidRPr="0018315F">
        <w:rPr>
          <w:rFonts w:ascii="Times New Roman" w:hAnsi="Times New Roman"/>
          <w:lang w:val="ro-RO"/>
        </w:rPr>
        <w:t>;</w:t>
      </w:r>
    </w:p>
    <w:p w14:paraId="77E9FD14"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 xml:space="preserve">caracteristicile principale ale echipamentelor utilizate </w:t>
      </w:r>
      <w:r w:rsidR="00B54E51" w:rsidRPr="00ED3410">
        <w:rPr>
          <w:rFonts w:ascii="Times New Roman" w:hAnsi="Times New Roman"/>
          <w:lang w:val="ro-RO"/>
        </w:rPr>
        <w:t>î</w:t>
      </w:r>
      <w:r w:rsidRPr="00ED3410">
        <w:rPr>
          <w:rFonts w:ascii="Times New Roman" w:hAnsi="Times New Roman"/>
          <w:lang w:val="ro-RO"/>
        </w:rPr>
        <w:t>n cadrul obiectivului de investiţii şi varianta constructivă de realizare a investiţiei;</w:t>
      </w:r>
    </w:p>
    <w:p w14:paraId="669ED1FD" w14:textId="294792F8"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situaţia existentă a utilităţilor şi analiza de consum</w:t>
      </w:r>
      <w:r w:rsidR="000F768D">
        <w:rPr>
          <w:rFonts w:ascii="Times New Roman" w:hAnsi="Times New Roman"/>
          <w:lang w:val="ro-RO"/>
        </w:rPr>
        <w:t>;</w:t>
      </w:r>
    </w:p>
    <w:p w14:paraId="75EABC23" w14:textId="39418094"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concluziile evaluării impactului asupra mediului</w:t>
      </w:r>
      <w:r w:rsidRPr="000F768D">
        <w:rPr>
          <w:rFonts w:ascii="Times New Roman" w:hAnsi="Times New Roman"/>
          <w:lang w:val="pt-BR"/>
        </w:rPr>
        <w:t>;</w:t>
      </w:r>
    </w:p>
    <w:p w14:paraId="494073C4" w14:textId="48CF978B" w:rsidR="00172FCF" w:rsidRPr="00ED3410" w:rsidRDefault="00172FCF" w:rsidP="000522AB">
      <w:pPr>
        <w:jc w:val="both"/>
        <w:rPr>
          <w:rFonts w:ascii="Times New Roman" w:hAnsi="Times New Roman"/>
          <w:b/>
          <w:lang w:val="ro-RO"/>
        </w:rPr>
      </w:pPr>
      <w:r w:rsidRPr="00ED3410">
        <w:rPr>
          <w:rFonts w:ascii="Times New Roman" w:hAnsi="Times New Roman"/>
          <w:b/>
          <w:lang w:val="ro-RO"/>
        </w:rPr>
        <w:t xml:space="preserve">4. Durata de realizare şi etapele principale; graficul de realizare a investiţiei </w:t>
      </w:r>
      <w:r w:rsidRPr="00ED3410">
        <w:rPr>
          <w:rFonts w:ascii="Times New Roman" w:hAnsi="Times New Roman"/>
          <w:lang w:val="ro-RO"/>
        </w:rPr>
        <w:t>(cu detalierea calendarului activităţilor conform sectiunii Activități previzionate</w:t>
      </w:r>
      <w:r w:rsidR="00887A5B" w:rsidRPr="00ED3410">
        <w:rPr>
          <w:rFonts w:ascii="Times New Roman" w:hAnsi="Times New Roman"/>
          <w:lang w:val="ro-RO"/>
        </w:rPr>
        <w:t xml:space="preserve"> din cererea de finanț</w:t>
      </w:r>
      <w:r w:rsidRPr="00ED3410">
        <w:rPr>
          <w:rFonts w:ascii="Times New Roman" w:hAnsi="Times New Roman"/>
          <w:lang w:val="ro-RO"/>
        </w:rPr>
        <w:t>are)</w:t>
      </w:r>
      <w:r w:rsidR="00537601">
        <w:rPr>
          <w:rFonts w:ascii="Times New Roman" w:hAnsi="Times New Roman"/>
          <w:lang w:val="ro-RO"/>
        </w:rPr>
        <w:t>.</w:t>
      </w:r>
    </w:p>
    <w:p w14:paraId="48A5F327"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5. Costurile estimative ale investiţiei</w:t>
      </w:r>
    </w:p>
    <w:p w14:paraId="216E0DEA"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1. valoarea totală cu detalierea pe structura devizului general;</w:t>
      </w:r>
    </w:p>
    <w:p w14:paraId="16188F52"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2. eşalonarea costurilor coroborate cu graficul de realizare a investiţiei.</w:t>
      </w:r>
    </w:p>
    <w:p w14:paraId="473EF0F0"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Costul total al proiectului este cel stabilit în devizul general al proiectului, construit pe baza devizelor pe obiect</w:t>
      </w:r>
      <w:r w:rsidR="00B60C56" w:rsidRPr="00ED3410">
        <w:rPr>
          <w:rFonts w:ascii="Times New Roman" w:hAnsi="Times New Roman"/>
          <w:lang w:val="ro-RO"/>
        </w:rPr>
        <w:t xml:space="preserve"> (acolo unde este cazul)</w:t>
      </w:r>
      <w:r w:rsidRPr="00ED3410">
        <w:rPr>
          <w:rFonts w:ascii="Times New Roman" w:hAnsi="Times New Roman"/>
          <w:lang w:val="ro-RO"/>
        </w:rPr>
        <w:t>.</w:t>
      </w:r>
    </w:p>
    <w:p w14:paraId="54AE1136"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Devizele pe obiect cuprind totalitatea echipamentelor și lucrărilor din cadrul proiectului, așa cum apar în listele de echipamente și lucrări atașate devizelor și care reflect cu exactitate toate activitățile impuse de studiul de fezabilitate pentru realizarea proiectului.</w:t>
      </w:r>
    </w:p>
    <w:p w14:paraId="34D71F48"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6. Analiza financiară</w:t>
      </w:r>
    </w:p>
    <w:p w14:paraId="3BD7DEC1" w14:textId="77777777" w:rsidR="00172FCF" w:rsidRPr="00ED3410" w:rsidRDefault="00B60C56"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Identificarea </w:t>
      </w:r>
      <w:r w:rsidR="00172FCF" w:rsidRPr="00ED3410">
        <w:rPr>
          <w:rFonts w:ascii="Times New Roman" w:hAnsi="Times New Roman"/>
          <w:i/>
          <w:lang w:val="ro-RO"/>
        </w:rPr>
        <w:t>investiţiei şi definirea obiectivelor, inclusiv specificarea perioadei de referinţă;</w:t>
      </w:r>
    </w:p>
    <w:p w14:paraId="63896488" w14:textId="77777777" w:rsidR="00172FCF" w:rsidRPr="00ED3410" w:rsidRDefault="00B60C56"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Analiza </w:t>
      </w:r>
      <w:r w:rsidR="00044D8E" w:rsidRPr="00ED3410">
        <w:rPr>
          <w:rFonts w:ascii="Times New Roman" w:hAnsi="Times New Roman"/>
          <w:i/>
          <w:lang w:val="ro-RO"/>
        </w:rPr>
        <w:t>fezabilităţii proiectului şi opţiunile alternative</w:t>
      </w:r>
    </w:p>
    <w:p w14:paraId="28E2AE1E" w14:textId="77777777" w:rsidR="00172FCF" w:rsidRPr="00ED3410" w:rsidRDefault="00172FCF" w:rsidP="00C870AE">
      <w:pPr>
        <w:pStyle w:val="ListParagraph"/>
        <w:numPr>
          <w:ilvl w:val="0"/>
          <w:numId w:val="6"/>
        </w:numPr>
        <w:jc w:val="both"/>
        <w:rPr>
          <w:rFonts w:ascii="Times New Roman" w:hAnsi="Times New Roman"/>
          <w:lang w:val="ro-RO"/>
        </w:rPr>
      </w:pPr>
      <w:r w:rsidRPr="00ED3410">
        <w:rPr>
          <w:rFonts w:ascii="Times New Roman" w:hAnsi="Times New Roman"/>
          <w:lang w:val="ro-RO"/>
        </w:rPr>
        <w:t>Varianta fără investiţie = previziuni activitate curentă</w:t>
      </w:r>
    </w:p>
    <w:p w14:paraId="1B3E8047" w14:textId="290433A4" w:rsidR="00172FCF" w:rsidRPr="000F768D" w:rsidRDefault="00172FCF" w:rsidP="00C870AE">
      <w:pPr>
        <w:pStyle w:val="ListParagraph"/>
        <w:numPr>
          <w:ilvl w:val="0"/>
          <w:numId w:val="6"/>
        </w:numPr>
        <w:jc w:val="both"/>
        <w:rPr>
          <w:rFonts w:ascii="Times New Roman" w:hAnsi="Times New Roman"/>
          <w:lang w:val="ro-RO"/>
        </w:rPr>
      </w:pPr>
      <w:r w:rsidRPr="00ED3410">
        <w:rPr>
          <w:rFonts w:ascii="Times New Roman" w:hAnsi="Times New Roman"/>
          <w:lang w:val="ro-RO"/>
        </w:rPr>
        <w:t>Varianta cu investiţie = previziuni pentru activitatea solicitantului după implementarea investiţiei în varianta</w:t>
      </w:r>
      <w:r w:rsidR="00537601" w:rsidRPr="00537601">
        <w:rPr>
          <w:rFonts w:ascii="Times New Roman" w:hAnsi="Times New Roman"/>
          <w:lang w:val="it-IT"/>
        </w:rPr>
        <w:t>,</w:t>
      </w:r>
      <w:r w:rsidR="00537601" w:rsidRPr="00537601">
        <w:rPr>
          <w:rFonts w:ascii="Times New Roman" w:hAnsi="Times New Roman"/>
          <w:lang w:val="ro-RO"/>
        </w:rPr>
        <w:t xml:space="preserve"> </w:t>
      </w:r>
      <w:r w:rsidRPr="00ED3410">
        <w:rPr>
          <w:rFonts w:ascii="Times New Roman" w:hAnsi="Times New Roman"/>
          <w:lang w:val="ro-RO"/>
        </w:rPr>
        <w:t>cu asistenţă financiară nerambursabilă</w:t>
      </w:r>
      <w:r w:rsidR="000F768D">
        <w:rPr>
          <w:rFonts w:ascii="Times New Roman" w:hAnsi="Times New Roman"/>
          <w:lang w:val="ro-RO"/>
        </w:rPr>
        <w:t>.</w:t>
      </w:r>
      <w:r w:rsidRPr="00ED3410">
        <w:rPr>
          <w:rFonts w:ascii="Times New Roman" w:hAnsi="Times New Roman"/>
          <w:lang w:val="ro-RO"/>
        </w:rPr>
        <w:t xml:space="preserve"> </w:t>
      </w:r>
    </w:p>
    <w:p w14:paraId="47CBF34B" w14:textId="77777777" w:rsidR="00172FCF" w:rsidRPr="00ED3410" w:rsidRDefault="00B60C56" w:rsidP="00B60C56">
      <w:pPr>
        <w:ind w:left="360"/>
        <w:jc w:val="both"/>
        <w:rPr>
          <w:rFonts w:ascii="Times New Roman" w:hAnsi="Times New Roman"/>
          <w:lang w:val="ro-RO"/>
        </w:rPr>
      </w:pPr>
      <w:r w:rsidRPr="00ED3410">
        <w:rPr>
          <w:rFonts w:ascii="Times New Roman" w:hAnsi="Times New Roman"/>
          <w:color w:val="000000"/>
          <w:lang w:val="ro-RO"/>
        </w:rPr>
        <w:t>Această secțiune va conține p</w:t>
      </w:r>
      <w:r w:rsidR="00B54E51" w:rsidRPr="00ED3410">
        <w:rPr>
          <w:rFonts w:ascii="Times New Roman" w:hAnsi="Times New Roman"/>
          <w:lang w:val="ro-RO"/>
        </w:rPr>
        <w:t>roiecţia fluxului de numerar cu finanţarea nerambursabilă (pe durata implementării proiectului și pe durata de operare și întreținere a investiției) si proiecţia fluxului de numerar fără finanţarea nerambursabilă.</w:t>
      </w:r>
    </w:p>
    <w:p w14:paraId="7641535E" w14:textId="3703B0BD" w:rsidR="00F740A0" w:rsidRPr="00ED3410" w:rsidRDefault="00537601" w:rsidP="00B60C56">
      <w:pPr>
        <w:ind w:left="360"/>
        <w:jc w:val="both"/>
        <w:rPr>
          <w:rFonts w:ascii="Times New Roman" w:hAnsi="Times New Roman"/>
          <w:lang w:val="ro-RO"/>
        </w:rPr>
      </w:pPr>
      <w:r w:rsidRPr="000F768D">
        <w:rPr>
          <w:rFonts w:ascii="Times New Roman" w:hAnsi="Times New Roman"/>
          <w:lang w:val="it-IT"/>
        </w:rPr>
        <w:t>Varianta cu investiţie va</w:t>
      </w:r>
      <w:r w:rsidRPr="00537601">
        <w:rPr>
          <w:rFonts w:ascii="Times New Roman" w:hAnsi="Times New Roman"/>
          <w:lang w:val="ro-RO"/>
        </w:rPr>
        <w:t xml:space="preserve"> </w:t>
      </w:r>
      <w:r w:rsidR="00F740A0" w:rsidRPr="000F768D">
        <w:rPr>
          <w:rFonts w:ascii="Times New Roman" w:hAnsi="Times New Roman"/>
          <w:lang w:val="ro-RO"/>
        </w:rPr>
        <w:t xml:space="preserve">fi </w:t>
      </w:r>
      <w:r w:rsidRPr="000F768D">
        <w:rPr>
          <w:rFonts w:ascii="Times New Roman" w:hAnsi="Times New Roman"/>
          <w:lang w:val="ro-RO"/>
        </w:rPr>
        <w:t>dezvoltat</w:t>
      </w:r>
      <w:r>
        <w:rPr>
          <w:rFonts w:ascii="Times New Roman" w:hAnsi="Times New Roman"/>
          <w:lang w:val="ro-RO"/>
        </w:rPr>
        <w:t>a</w:t>
      </w:r>
      <w:r w:rsidRPr="000F768D">
        <w:rPr>
          <w:rFonts w:ascii="Times New Roman" w:hAnsi="Times New Roman"/>
          <w:lang w:val="ro-RO"/>
        </w:rPr>
        <w:t xml:space="preserve"> </w:t>
      </w:r>
      <w:r w:rsidR="00F740A0" w:rsidRPr="000F768D">
        <w:rPr>
          <w:rFonts w:ascii="Times New Roman" w:hAnsi="Times New Roman"/>
          <w:lang w:val="ro-RO"/>
        </w:rPr>
        <w:t xml:space="preserve">pe consumurile de energie ce vor fi </w:t>
      </w:r>
      <w:r>
        <w:rPr>
          <w:rFonts w:ascii="Times New Roman" w:hAnsi="Times New Roman"/>
          <w:lang w:val="ro-RO"/>
        </w:rPr>
        <w:t>estimate</w:t>
      </w:r>
      <w:r w:rsidRPr="000F768D">
        <w:rPr>
          <w:rFonts w:ascii="Times New Roman" w:hAnsi="Times New Roman"/>
          <w:lang w:val="ro-RO"/>
        </w:rPr>
        <w:t xml:space="preserve"> </w:t>
      </w:r>
      <w:r w:rsidR="00F740A0" w:rsidRPr="00ED3410">
        <w:rPr>
          <w:rFonts w:ascii="Times New Roman" w:hAnsi="Times New Roman"/>
          <w:lang w:val="ro-RO"/>
        </w:rPr>
        <w:t>în proiect. Nu este necesar a se face analiza financiară a întregii activități a întreprinderii (decât dacă activitatea integrală corespunde cu sistemul propus spre monitorizare).</w:t>
      </w:r>
    </w:p>
    <w:p w14:paraId="43283628" w14:textId="77777777" w:rsidR="009D2907" w:rsidRPr="00ED3410" w:rsidRDefault="00172FCF"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Analiza financiară </w:t>
      </w:r>
    </w:p>
    <w:p w14:paraId="78B283DB" w14:textId="77777777" w:rsidR="00875D13" w:rsidRPr="00C8471B" w:rsidRDefault="00875D13" w:rsidP="00875D13">
      <w:pPr>
        <w:tabs>
          <w:tab w:val="num" w:pos="426"/>
          <w:tab w:val="left" w:pos="540"/>
          <w:tab w:val="left" w:pos="10065"/>
        </w:tabs>
        <w:spacing w:after="120" w:line="240" w:lineRule="auto"/>
        <w:ind w:left="360" w:right="-51"/>
        <w:jc w:val="both"/>
        <w:rPr>
          <w:rFonts w:ascii="Times New Roman" w:eastAsia="Calibri" w:hAnsi="Times New Roman"/>
          <w:szCs w:val="24"/>
          <w:lang w:val="ro-RO"/>
        </w:rPr>
      </w:pPr>
      <w:r w:rsidRPr="00C8471B">
        <w:rPr>
          <w:rFonts w:ascii="Times New Roman" w:eastAsia="Calibri" w:hAnsi="Times New Roman"/>
          <w:szCs w:val="24"/>
          <w:lang w:val="ro-RO"/>
        </w:rPr>
        <w:t>Scopul elaborării analizei financiare este de a:</w:t>
      </w:r>
    </w:p>
    <w:p w14:paraId="737954E7" w14:textId="77777777" w:rsidR="00875D13" w:rsidRPr="00ED3410" w:rsidRDefault="00875D13" w:rsidP="00ED3410">
      <w:pPr>
        <w:pStyle w:val="ListParagraph"/>
        <w:numPr>
          <w:ilvl w:val="0"/>
          <w:numId w:val="6"/>
        </w:numPr>
        <w:jc w:val="both"/>
        <w:rPr>
          <w:rFonts w:ascii="Times New Roman" w:eastAsiaTheme="minorHAnsi" w:hAnsi="Times New Roman"/>
          <w:lang w:val="ro-RO"/>
        </w:rPr>
      </w:pPr>
      <w:r w:rsidRPr="00ED3410">
        <w:rPr>
          <w:rFonts w:ascii="Times New Roman" w:eastAsiaTheme="minorHAnsi" w:hAnsi="Times New Roman"/>
          <w:lang w:val="ro-RO"/>
        </w:rPr>
        <w:t>Evalua profitabilitatea investiției;</w:t>
      </w:r>
    </w:p>
    <w:p w14:paraId="10BB14F0" w14:textId="2092EB31" w:rsidR="00875D13" w:rsidRPr="00ED3410" w:rsidRDefault="00875D13" w:rsidP="00ED3410">
      <w:pPr>
        <w:pStyle w:val="ListParagraph"/>
        <w:numPr>
          <w:ilvl w:val="0"/>
          <w:numId w:val="6"/>
        </w:numPr>
        <w:jc w:val="both"/>
        <w:rPr>
          <w:rFonts w:ascii="Times New Roman" w:eastAsiaTheme="minorHAnsi" w:hAnsi="Times New Roman"/>
          <w:lang w:val="ro-RO"/>
        </w:rPr>
      </w:pPr>
      <w:r w:rsidRPr="00ED3410">
        <w:rPr>
          <w:rFonts w:ascii="Times New Roman" w:eastAsiaTheme="minorHAnsi" w:hAnsi="Times New Roman"/>
          <w:lang w:val="ro-RO"/>
        </w:rPr>
        <w:t xml:space="preserve">Evalua profitabilitatea proiectului din perspectiva </w:t>
      </w:r>
      <w:r w:rsidR="00222B3A">
        <w:rPr>
          <w:rFonts w:ascii="Times New Roman" w:eastAsiaTheme="minorHAnsi" w:hAnsi="Times New Roman"/>
          <w:lang w:val="ro-RO"/>
        </w:rPr>
        <w:t>beneficiarului</w:t>
      </w:r>
      <w:r w:rsidRPr="00ED3410">
        <w:rPr>
          <w:rFonts w:ascii="Times New Roman" w:eastAsiaTheme="minorHAnsi" w:hAnsi="Times New Roman"/>
          <w:lang w:val="ro-RO"/>
        </w:rPr>
        <w:t>(în condițiile cofinanțării UE);</w:t>
      </w:r>
    </w:p>
    <w:p w14:paraId="741EE7C4" w14:textId="77777777" w:rsidR="00875D13" w:rsidRPr="00ED3410" w:rsidRDefault="00875D13" w:rsidP="00ED3410">
      <w:pPr>
        <w:pStyle w:val="ListParagraph"/>
        <w:numPr>
          <w:ilvl w:val="0"/>
          <w:numId w:val="6"/>
        </w:numPr>
        <w:jc w:val="both"/>
        <w:rPr>
          <w:rFonts w:ascii="Times New Roman" w:eastAsia="Calibri" w:hAnsi="Times New Roman"/>
          <w:szCs w:val="24"/>
          <w:lang w:val="ro-RO"/>
        </w:rPr>
      </w:pPr>
      <w:r w:rsidRPr="00ED3410">
        <w:rPr>
          <w:rFonts w:ascii="Times New Roman" w:eastAsiaTheme="minorHAnsi" w:hAnsi="Times New Roman"/>
          <w:lang w:val="ro-RO"/>
        </w:rPr>
        <w:t>Verifica</w:t>
      </w:r>
      <w:r w:rsidRPr="00C8471B">
        <w:rPr>
          <w:rFonts w:ascii="Times New Roman" w:eastAsia="Calibri" w:hAnsi="Times New Roman"/>
          <w:szCs w:val="24"/>
          <w:lang w:val="ro-RO"/>
        </w:rPr>
        <w:t xml:space="preserve"> sustenabilitatea financiară a proiectului.</w:t>
      </w:r>
    </w:p>
    <w:p w14:paraId="60AE4D53" w14:textId="77777777" w:rsidR="00875D13" w:rsidRPr="00C8471B" w:rsidRDefault="00875D13" w:rsidP="00875D13">
      <w:pPr>
        <w:autoSpaceDE w:val="0"/>
        <w:autoSpaceDN w:val="0"/>
        <w:adjustRightInd w:val="0"/>
        <w:spacing w:after="120" w:line="240" w:lineRule="auto"/>
        <w:ind w:left="284"/>
        <w:jc w:val="both"/>
        <w:rPr>
          <w:rFonts w:ascii="Times New Roman" w:eastAsia="Calibri" w:hAnsi="Times New Roman"/>
          <w:szCs w:val="24"/>
          <w:lang w:val="ro-RO"/>
        </w:rPr>
      </w:pPr>
      <w:r w:rsidRPr="00C8471B">
        <w:rPr>
          <w:rFonts w:ascii="Times New Roman" w:eastAsia="Calibri" w:hAnsi="Times New Roman"/>
          <w:b/>
          <w:szCs w:val="24"/>
          <w:lang w:val="ro-RO"/>
        </w:rPr>
        <w:t>Metodologia</w:t>
      </w:r>
      <w:r w:rsidRPr="00C8471B">
        <w:rPr>
          <w:rFonts w:ascii="Times New Roman" w:eastAsia="Calibri" w:hAnsi="Times New Roman"/>
          <w:szCs w:val="24"/>
          <w:lang w:val="ro-RO"/>
        </w:rPr>
        <w:t xml:space="preserve"> utilizată este analiza fluxului de numerar actualizat, care presupune:</w:t>
      </w:r>
    </w:p>
    <w:p w14:paraId="19D96490"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Se iau în considerare doar </w:t>
      </w:r>
      <w:r w:rsidRPr="00ED3410">
        <w:rPr>
          <w:rFonts w:ascii="Times New Roman" w:eastAsia="Calibri" w:hAnsi="Times New Roman"/>
          <w:b/>
          <w:szCs w:val="24"/>
          <w:lang w:val="ro-RO"/>
        </w:rPr>
        <w:t>fluxurile de numerar</w:t>
      </w:r>
      <w:r w:rsidRPr="00ED3410">
        <w:rPr>
          <w:rFonts w:ascii="Times New Roman" w:eastAsia="Calibri" w:hAnsi="Times New Roman"/>
          <w:szCs w:val="24"/>
          <w:lang w:val="ro-RO"/>
        </w:rPr>
        <w:t xml:space="preserve">, respectiv valoarea reală de numerar plătită sau primită pentru proiect. Prin urmare, elementele contabile asimilate, de exemplu rezervele de amortizare și fondurile de rezervă nu trebuie incluse în analiza financiară. </w:t>
      </w:r>
    </w:p>
    <w:p w14:paraId="43F3A202" w14:textId="47E43A44" w:rsidR="00875D13" w:rsidRPr="00ED3410" w:rsidRDefault="00875D13" w:rsidP="00ED3410">
      <w:pPr>
        <w:pStyle w:val="ListParagraph"/>
        <w:widowControl w:val="0"/>
        <w:numPr>
          <w:ilvl w:val="0"/>
          <w:numId w:val="19"/>
        </w:numPr>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Se vor lua în considerare numai fluxurile de numerar din anul în care apar și vor fi proiectate pe o </w:t>
      </w:r>
      <w:r w:rsidRPr="00ED3410">
        <w:rPr>
          <w:rFonts w:ascii="Times New Roman" w:eastAsia="Calibri" w:hAnsi="Times New Roman"/>
          <w:b/>
          <w:szCs w:val="24"/>
          <w:lang w:val="ro-RO"/>
        </w:rPr>
        <w:lastRenderedPageBreak/>
        <w:t xml:space="preserve">perioadă de referință de </w:t>
      </w:r>
      <w:r w:rsidR="00ED3410">
        <w:rPr>
          <w:rFonts w:ascii="Times New Roman" w:eastAsia="Calibri" w:hAnsi="Times New Roman"/>
          <w:b/>
          <w:szCs w:val="24"/>
          <w:lang w:val="ro-RO"/>
        </w:rPr>
        <w:t xml:space="preserve">minim </w:t>
      </w:r>
      <w:r w:rsidRPr="00C8471B">
        <w:rPr>
          <w:rFonts w:ascii="Times New Roman" w:hAnsi="Times New Roman"/>
          <w:b/>
          <w:szCs w:val="24"/>
          <w:lang w:val="ro-RO"/>
        </w:rPr>
        <w:t>1</w:t>
      </w:r>
      <w:r w:rsidR="00ED3410">
        <w:rPr>
          <w:rFonts w:ascii="Times New Roman" w:hAnsi="Times New Roman"/>
          <w:b/>
          <w:szCs w:val="24"/>
          <w:lang w:val="ro-RO"/>
        </w:rPr>
        <w:t>5</w:t>
      </w:r>
      <w:r w:rsidRPr="00ED3410">
        <w:rPr>
          <w:rFonts w:ascii="Times New Roman" w:hAnsi="Times New Roman"/>
          <w:b/>
          <w:szCs w:val="24"/>
          <w:lang w:val="ro-RO"/>
        </w:rPr>
        <w:t xml:space="preserve"> de ani</w:t>
      </w:r>
      <w:r w:rsidRPr="00ED3410">
        <w:rPr>
          <w:rFonts w:ascii="Times New Roman" w:hAnsi="Times New Roman"/>
          <w:szCs w:val="24"/>
          <w:lang w:val="ro-RO"/>
        </w:rPr>
        <w:t>, care include şi perioada de implementare a operațiunii</w:t>
      </w:r>
      <w:r w:rsidRPr="00ED3410">
        <w:rPr>
          <w:rFonts w:ascii="Times New Roman" w:eastAsia="Calibri" w:hAnsi="Times New Roman"/>
          <w:szCs w:val="24"/>
          <w:lang w:val="ro-RO"/>
        </w:rPr>
        <w:t xml:space="preserve">. </w:t>
      </w:r>
      <w:r w:rsidR="00ED3410" w:rsidRPr="00ED3410">
        <w:rPr>
          <w:rFonts w:ascii="Times New Roman" w:eastAsia="Calibri" w:hAnsi="Times New Roman"/>
          <w:szCs w:val="24"/>
          <w:lang w:val="ro-RO"/>
        </w:rPr>
        <w:t>Pentru proiectele din cadrul OS 6.2</w:t>
      </w:r>
      <w:r w:rsidR="00A52590">
        <w:rPr>
          <w:rFonts w:ascii="Times New Roman" w:eastAsia="Calibri" w:hAnsi="Times New Roman"/>
          <w:szCs w:val="24"/>
          <w:lang w:val="ro-RO"/>
        </w:rPr>
        <w:t>/REACT-EU (după caz)</w:t>
      </w:r>
      <w:r w:rsidR="00ED3410" w:rsidRPr="00ED3410">
        <w:rPr>
          <w:rFonts w:ascii="Times New Roman" w:eastAsia="Calibri" w:hAnsi="Times New Roman"/>
          <w:szCs w:val="24"/>
          <w:lang w:val="ro-RO"/>
        </w:rPr>
        <w:t xml:space="preserve"> se pot accepta si perioade de referință sub 15 ani, cu o justificare adecvată, în funcție de tipul tehnologiei  (recomandăm consultarea Hotararii nr. 2.139/2004 pentru aprobarea Catalogului privind clasificarea și duratele normale de funcționare a mijloacelor fixe.)</w:t>
      </w:r>
    </w:p>
    <w:p w14:paraId="749AFB5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În situația în care durata de viață economică utilă a proiectului depășește perioada de referință, se va lua în considerare și o </w:t>
      </w:r>
      <w:r w:rsidRPr="00ED3410">
        <w:rPr>
          <w:rFonts w:ascii="Times New Roman" w:eastAsia="Calibri" w:hAnsi="Times New Roman"/>
          <w:b/>
          <w:szCs w:val="24"/>
          <w:lang w:val="ro-RO"/>
        </w:rPr>
        <w:t>valoare reziduală</w:t>
      </w:r>
      <w:r w:rsidRPr="00ED3410">
        <w:rPr>
          <w:rFonts w:ascii="Times New Roman" w:eastAsia="Calibri" w:hAnsi="Times New Roman"/>
          <w:szCs w:val="24"/>
          <w:lang w:val="ro-RO"/>
        </w:rPr>
        <w:t>. Valoarea reziduală se determină prin calcularea valorii actuale nete a fluxurilor de numerar pentru durata de viață rămasă a proiectului (diferența dintre durata de viață economică utilă și perioada de referință) sau prin metoda deprecierii (dupa caz);</w:t>
      </w:r>
    </w:p>
    <w:p w14:paraId="78A85566" w14:textId="77777777" w:rsidR="00875D13" w:rsidRPr="00ED3410" w:rsidRDefault="00875D13" w:rsidP="00875D13">
      <w:pPr>
        <w:pStyle w:val="ListParagraph"/>
        <w:widowControl w:val="0"/>
        <w:tabs>
          <w:tab w:val="num" w:pos="426"/>
        </w:tabs>
        <w:autoSpaceDE w:val="0"/>
        <w:autoSpaceDN w:val="0"/>
        <w:adjustRightInd w:val="0"/>
        <w:spacing w:after="120"/>
        <w:rPr>
          <w:rFonts w:ascii="Times New Roman" w:eastAsia="Calibri" w:hAnsi="Times New Roman"/>
          <w:szCs w:val="24"/>
          <w:lang w:val="ro-RO"/>
        </w:rPr>
      </w:pPr>
      <w:r w:rsidRPr="00ED3410">
        <w:rPr>
          <w:rFonts w:ascii="Times New Roman" w:hAnsi="Times New Roman"/>
          <w:i/>
          <w:szCs w:val="24"/>
          <w:lang w:val="ro-RO"/>
        </w:rPr>
        <w:t xml:space="preserve">Durata de  viata a echipamentelor din  investiției  se va stabili conform legislatiei in vigoare. </w:t>
      </w:r>
    </w:p>
    <w:p w14:paraId="6CE1175F" w14:textId="77777777" w:rsidR="00875D13" w:rsidRPr="00ED3410" w:rsidRDefault="00875D13" w:rsidP="00ED3410">
      <w:pPr>
        <w:pStyle w:val="ListParagraph"/>
        <w:widowControl w:val="0"/>
        <w:numPr>
          <w:ilvl w:val="0"/>
          <w:numId w:val="19"/>
        </w:numPr>
        <w:tabs>
          <w:tab w:val="num" w:pos="426"/>
        </w:tabs>
        <w:autoSpaceDE w:val="0"/>
        <w:autoSpaceDN w:val="0"/>
        <w:adjustRightInd w:val="0"/>
        <w:spacing w:before="60" w:after="120" w:line="240" w:lineRule="auto"/>
        <w:contextualSpacing w:val="0"/>
        <w:jc w:val="both"/>
        <w:rPr>
          <w:rFonts w:ascii="Times New Roman" w:eastAsia="Calibri" w:hAnsi="Times New Roman"/>
          <w:lang w:val="ro-RO"/>
        </w:rPr>
      </w:pPr>
      <w:r w:rsidRPr="00C8471B">
        <w:rPr>
          <w:rFonts w:ascii="Times New Roman" w:eastAsia="Calibri" w:hAnsi="Times New Roman"/>
          <w:szCs w:val="24"/>
          <w:lang w:val="ro-RO"/>
        </w:rPr>
        <w:t xml:space="preserve">Valoarea actuală netă a fluxurilor de numerar </w:t>
      </w:r>
      <w:r w:rsidRPr="00ED3410">
        <w:rPr>
          <w:rFonts w:ascii="Times New Roman" w:eastAsia="Calibri" w:hAnsi="Times New Roman"/>
          <w:szCs w:val="24"/>
          <w:lang w:val="ro-RO"/>
        </w:rPr>
        <w:t xml:space="preserve">se calculează prin deducerea costurilor actualizate din veniturile actualizate și, dacă este cazul, prin adăugarea valorii reziduale a investiției, ceea ce presupune ca fluxurile de numerar sa fie actualizate prin aplicarea la valoarea curentă a unei </w:t>
      </w:r>
      <w:r w:rsidRPr="00ED3410">
        <w:rPr>
          <w:rFonts w:ascii="Times New Roman" w:eastAsia="Calibri" w:hAnsi="Times New Roman"/>
          <w:b/>
          <w:szCs w:val="24"/>
          <w:lang w:val="ro-RO"/>
        </w:rPr>
        <w:t>rate de actualizare financiară de 4% în termeni reali</w:t>
      </w:r>
      <w:r w:rsidRPr="00ED3410">
        <w:rPr>
          <w:rFonts w:ascii="Times New Roman" w:eastAsia="Calibri" w:hAnsi="Times New Roman"/>
          <w:szCs w:val="24"/>
          <w:lang w:val="ro-RO"/>
        </w:rPr>
        <w:t>, drept valoare de referință pentru operațiunile de investiții publice cofinanțate prin fondurile ESI.</w:t>
      </w:r>
      <w:r w:rsidRPr="00C8471B">
        <w:rPr>
          <w:rFonts w:ascii="Times New Roman" w:eastAsia="Calibri" w:hAnsi="Times New Roman"/>
          <w:szCs w:val="24"/>
          <w:lang w:val="ro-RO"/>
        </w:rPr>
        <w:t xml:space="preserve"> </w:t>
      </w:r>
      <w:r w:rsidRPr="00ED3410">
        <w:rPr>
          <w:rFonts w:ascii="Times New Roman" w:hAnsi="Times New Roman"/>
          <w:color w:val="000000"/>
          <w:lang w:val="ro-RO"/>
        </w:rPr>
        <w:t xml:space="preserve">Economiile la costurile de </w:t>
      </w:r>
      <w:r w:rsidRPr="00C8471B">
        <w:rPr>
          <w:rFonts w:ascii="Times New Roman" w:hAnsi="Times New Roman"/>
          <w:color w:val="000000"/>
          <w:lang w:val="ro-RO"/>
        </w:rPr>
        <w:t>operare,</w:t>
      </w:r>
      <w:r w:rsidRPr="00ED3410">
        <w:rPr>
          <w:rFonts w:ascii="Times New Roman" w:hAnsi="Times New Roman"/>
          <w:color w:val="000000"/>
          <w:lang w:val="ro-RO"/>
        </w:rPr>
        <w:t xml:space="preserve"> generate de </w:t>
      </w:r>
      <w:r w:rsidRPr="00C8471B">
        <w:rPr>
          <w:rFonts w:ascii="Times New Roman" w:hAnsi="Times New Roman"/>
          <w:color w:val="000000"/>
          <w:lang w:val="ro-RO"/>
        </w:rPr>
        <w:t>implementarea proiectului,</w:t>
      </w:r>
      <w:r w:rsidRPr="00ED3410">
        <w:rPr>
          <w:rFonts w:ascii="Times New Roman" w:hAnsi="Times New Roman"/>
          <w:color w:val="000000"/>
          <w:lang w:val="ro-RO"/>
        </w:rPr>
        <w:t xml:space="preserve"> se tratează drept venituri nete</w:t>
      </w:r>
      <w:r w:rsidRPr="00C8471B">
        <w:rPr>
          <w:rFonts w:ascii="Times New Roman" w:eastAsia="Calibri" w:hAnsi="Times New Roman"/>
          <w:lang w:val="ro-RO"/>
        </w:rPr>
        <w:t>.</w:t>
      </w:r>
    </w:p>
    <w:p w14:paraId="124A985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Analiza financiară ar trebui să fie efectuată la </w:t>
      </w:r>
      <w:r w:rsidRPr="00ED3410">
        <w:rPr>
          <w:rFonts w:ascii="Times New Roman" w:eastAsia="Calibri" w:hAnsi="Times New Roman"/>
          <w:b/>
          <w:szCs w:val="24"/>
          <w:lang w:val="ro-RO"/>
        </w:rPr>
        <w:t>prețuri constante</w:t>
      </w:r>
      <w:r w:rsidRPr="00ED3410">
        <w:rPr>
          <w:rFonts w:ascii="Times New Roman" w:eastAsia="Calibri" w:hAnsi="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ED3410">
        <w:rPr>
          <w:rFonts w:ascii="Times New Roman" w:eastAsia="Calibri" w:hAnsi="Times New Roman"/>
          <w:i/>
          <w:szCs w:val="24"/>
          <w:lang w:val="ro-RO"/>
        </w:rPr>
        <w:t>creșterea prețului la utilități</w:t>
      </w:r>
      <w:r w:rsidRPr="00ED3410">
        <w:rPr>
          <w:rFonts w:ascii="Times New Roman" w:eastAsia="Calibri" w:hAnsi="Times New Roman"/>
          <w:szCs w:val="24"/>
          <w:lang w:val="ro-RO"/>
        </w:rPr>
        <w:t>).</w:t>
      </w:r>
    </w:p>
    <w:p w14:paraId="52C2183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Analiza financiara trebuie elaborată ținând cont de </w:t>
      </w:r>
      <w:r w:rsidRPr="00ED3410">
        <w:rPr>
          <w:rFonts w:ascii="Times New Roman" w:eastAsia="Calibri" w:hAnsi="Times New Roman"/>
          <w:b/>
          <w:szCs w:val="24"/>
          <w:lang w:val="ro-RO"/>
        </w:rPr>
        <w:t>principiul incremental</w:t>
      </w:r>
      <w:r w:rsidRPr="00ED3410">
        <w:rPr>
          <w:rFonts w:ascii="Times New Roman" w:eastAsia="Calibri" w:hAnsi="Times New Roman"/>
          <w:szCs w:val="24"/>
          <w:lang w:val="ro-RO"/>
        </w:rPr>
        <w:t>, respectiv de faptul că evaluarea impactului proiectului se realizează prin compararea a două scenarii:</w:t>
      </w:r>
    </w:p>
    <w:p w14:paraId="7B26F58D" w14:textId="77777777" w:rsidR="00875D13" w:rsidRPr="00ED3410" w:rsidRDefault="00875D13" w:rsidP="00875D13">
      <w:pPr>
        <w:pStyle w:val="ListParagraph"/>
        <w:widowControl w:val="0"/>
        <w:numPr>
          <w:ilvl w:val="1"/>
          <w:numId w:val="19"/>
        </w:numPr>
        <w:autoSpaceDE w:val="0"/>
        <w:autoSpaceDN w:val="0"/>
        <w:adjustRightInd w:val="0"/>
        <w:spacing w:after="120" w:line="240" w:lineRule="auto"/>
        <w:contextualSpacing w:val="0"/>
        <w:jc w:val="both"/>
        <w:rPr>
          <w:rFonts w:ascii="Times New Roman" w:eastAsia="Calibri" w:hAnsi="Times New Roman"/>
          <w:i/>
          <w:szCs w:val="24"/>
          <w:lang w:val="ro-RO"/>
        </w:rPr>
      </w:pPr>
      <w:r w:rsidRPr="00ED3410">
        <w:rPr>
          <w:rFonts w:ascii="Times New Roman" w:eastAsia="Calibri" w:hAnsi="Times New Roman"/>
          <w:b/>
          <w:i/>
          <w:szCs w:val="24"/>
          <w:lang w:val="ro-RO"/>
        </w:rPr>
        <w:t xml:space="preserve">Scenariul BAU (business as usual) – </w:t>
      </w:r>
      <w:r w:rsidRPr="00C8471B">
        <w:rPr>
          <w:rFonts w:ascii="Times New Roman" w:eastAsia="Calibri" w:hAnsi="Times New Roman"/>
          <w:szCs w:val="24"/>
          <w:lang w:val="ro-RO"/>
        </w:rPr>
        <w:t>proiecția</w:t>
      </w:r>
      <w:r w:rsidRPr="00ED3410">
        <w:rPr>
          <w:rFonts w:ascii="Times New Roman" w:eastAsia="Calibri" w:hAnsi="Times New Roman"/>
          <w:szCs w:val="24"/>
          <w:lang w:val="ro-RO"/>
        </w:rPr>
        <w:t xml:space="preserve"> fluxurilor de numerar </w:t>
      </w:r>
      <w:r w:rsidRPr="00C8471B">
        <w:rPr>
          <w:rFonts w:ascii="Times New Roman" w:eastAsia="Calibri" w:hAnsi="Times New Roman"/>
          <w:szCs w:val="24"/>
          <w:lang w:val="ro-RO"/>
        </w:rPr>
        <w:t>î</w:t>
      </w:r>
      <w:r w:rsidRPr="00ED3410">
        <w:rPr>
          <w:rFonts w:ascii="Times New Roman" w:eastAsia="Calibri" w:hAnsi="Times New Roman"/>
          <w:szCs w:val="24"/>
          <w:lang w:val="ro-RO"/>
        </w:rPr>
        <w:t xml:space="preserve">n </w:t>
      </w:r>
      <w:r w:rsidRPr="00C8471B">
        <w:rPr>
          <w:rFonts w:ascii="Times New Roman" w:eastAsia="Calibri" w:hAnsi="Times New Roman"/>
          <w:szCs w:val="24"/>
          <w:lang w:val="ro-RO"/>
        </w:rPr>
        <w:t>situația</w:t>
      </w:r>
      <w:r w:rsidRPr="00ED3410">
        <w:rPr>
          <w:rFonts w:ascii="Times New Roman" w:eastAsia="Calibri" w:hAnsi="Times New Roman"/>
          <w:szCs w:val="24"/>
          <w:lang w:val="ro-RO"/>
        </w:rPr>
        <w:t xml:space="preserve"> </w:t>
      </w:r>
      <w:r w:rsidRPr="00C8471B">
        <w:rPr>
          <w:rFonts w:ascii="Times New Roman" w:eastAsia="Calibri" w:hAnsi="Times New Roman"/>
          <w:szCs w:val="24"/>
          <w:lang w:val="ro-RO"/>
        </w:rPr>
        <w:t>î</w:t>
      </w:r>
      <w:r w:rsidRPr="00ED3410">
        <w:rPr>
          <w:rFonts w:ascii="Times New Roman" w:eastAsia="Calibri" w:hAnsi="Times New Roman"/>
          <w:szCs w:val="24"/>
          <w:lang w:val="ro-RO"/>
        </w:rPr>
        <w:t>n care proiectul nu s-ar implementa;</w:t>
      </w:r>
    </w:p>
    <w:p w14:paraId="20A715B0" w14:textId="77777777" w:rsidR="00875D13" w:rsidRPr="00ED3410" w:rsidRDefault="00875D13" w:rsidP="00875D13">
      <w:pPr>
        <w:pStyle w:val="ListParagraph"/>
        <w:widowControl w:val="0"/>
        <w:numPr>
          <w:ilvl w:val="1"/>
          <w:numId w:val="19"/>
        </w:numPr>
        <w:autoSpaceDE w:val="0"/>
        <w:autoSpaceDN w:val="0"/>
        <w:adjustRightInd w:val="0"/>
        <w:spacing w:after="120" w:line="240" w:lineRule="auto"/>
        <w:contextualSpacing w:val="0"/>
        <w:jc w:val="both"/>
        <w:rPr>
          <w:rFonts w:ascii="Times New Roman" w:eastAsia="Calibri" w:hAnsi="Times New Roman"/>
          <w:i/>
          <w:szCs w:val="24"/>
          <w:lang w:val="ro-RO"/>
        </w:rPr>
      </w:pPr>
      <w:r w:rsidRPr="00ED3410">
        <w:rPr>
          <w:rFonts w:ascii="Times New Roman" w:eastAsia="Calibri" w:hAnsi="Times New Roman"/>
          <w:b/>
          <w:i/>
          <w:szCs w:val="24"/>
          <w:lang w:val="ro-RO"/>
        </w:rPr>
        <w:t xml:space="preserve">Scenariul cu proiect – </w:t>
      </w:r>
      <w:r w:rsidRPr="00ED3410">
        <w:rPr>
          <w:rFonts w:ascii="Times New Roman" w:eastAsia="Calibri" w:hAnsi="Times New Roman"/>
          <w:szCs w:val="24"/>
          <w:lang w:val="ro-RO"/>
        </w:rPr>
        <w:t xml:space="preserve">proiecția fluxurilor de numerar </w:t>
      </w:r>
      <w:r w:rsidRPr="00C8471B">
        <w:rPr>
          <w:rFonts w:ascii="Times New Roman" w:eastAsia="Calibri" w:hAnsi="Times New Roman"/>
          <w:szCs w:val="24"/>
          <w:lang w:val="ro-RO"/>
        </w:rPr>
        <w:t>î</w:t>
      </w:r>
      <w:r w:rsidRPr="00ED3410">
        <w:rPr>
          <w:rFonts w:ascii="Times New Roman" w:eastAsia="Calibri" w:hAnsi="Times New Roman"/>
          <w:szCs w:val="24"/>
          <w:lang w:val="ro-RO"/>
        </w:rPr>
        <w:t>n situația implementării prezentului proiect.</w:t>
      </w:r>
    </w:p>
    <w:p w14:paraId="44F7D754" w14:textId="77777777" w:rsidR="00875D13" w:rsidRPr="00ED3410" w:rsidRDefault="00875D13" w:rsidP="00875D13">
      <w:pPr>
        <w:pStyle w:val="Default"/>
        <w:jc w:val="both"/>
        <w:rPr>
          <w:lang w:val="ro-RO"/>
        </w:rPr>
      </w:pPr>
    </w:p>
    <w:p w14:paraId="730C9BE9" w14:textId="77777777" w:rsidR="00875D13" w:rsidRPr="00ED3410" w:rsidRDefault="00875D13" w:rsidP="00875D13">
      <w:pPr>
        <w:pStyle w:val="Default"/>
        <w:ind w:left="720" w:hanging="294"/>
        <w:jc w:val="both"/>
        <w:rPr>
          <w:rFonts w:eastAsiaTheme="minorHAnsi"/>
          <w:color w:val="auto"/>
          <w:szCs w:val="22"/>
          <w:lang w:val="ro-RO"/>
        </w:rPr>
      </w:pPr>
      <w:r w:rsidRPr="00ED3410">
        <w:rPr>
          <w:rFonts w:eastAsiaTheme="minorHAnsi"/>
          <w:b/>
          <w:color w:val="auto"/>
          <w:szCs w:val="22"/>
          <w:lang w:val="ro-RO"/>
        </w:rPr>
        <w:t>Etapele</w:t>
      </w:r>
      <w:r w:rsidRPr="00ED3410">
        <w:rPr>
          <w:rFonts w:eastAsiaTheme="minorHAnsi"/>
          <w:color w:val="auto"/>
          <w:szCs w:val="22"/>
          <w:lang w:val="ro-RO"/>
        </w:rPr>
        <w:t xml:space="preserve"> elaborării analizei financiare sunt:</w:t>
      </w:r>
    </w:p>
    <w:p w14:paraId="45C63726" w14:textId="77777777" w:rsidR="00875D13" w:rsidRPr="00ED3410" w:rsidRDefault="00875D13" w:rsidP="00875D13">
      <w:pPr>
        <w:pStyle w:val="Default"/>
        <w:jc w:val="both"/>
        <w:rPr>
          <w:lang w:val="ro-RO"/>
        </w:rPr>
      </w:pPr>
    </w:p>
    <w:p w14:paraId="603E903C" w14:textId="77777777" w:rsidR="00875D13" w:rsidRPr="00C8471B" w:rsidRDefault="00875D13" w:rsidP="00875D13">
      <w:pPr>
        <w:numPr>
          <w:ilvl w:val="1"/>
          <w:numId w:val="2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Evaluarea rentabilității financiare a investiției</w:t>
      </w:r>
    </w:p>
    <w:p w14:paraId="5B30290F" w14:textId="77777777" w:rsidR="00875D13" w:rsidRPr="00ED3410" w:rsidRDefault="00875D13" w:rsidP="00875D13">
      <w:pPr>
        <w:tabs>
          <w:tab w:val="num" w:pos="426"/>
          <w:tab w:val="left" w:pos="540"/>
          <w:tab w:val="left" w:pos="10065"/>
        </w:tabs>
        <w:spacing w:after="120" w:line="240" w:lineRule="auto"/>
        <w:ind w:left="360" w:right="-51"/>
        <w:jc w:val="both"/>
        <w:rPr>
          <w:rFonts w:ascii="Times New Roman" w:hAnsi="Times New Roman"/>
          <w:lang w:val="ro-RO"/>
        </w:rPr>
      </w:pPr>
      <w:r w:rsidRPr="00ED3410">
        <w:rPr>
          <w:rFonts w:ascii="Times New Roman" w:hAnsi="Times New Roman"/>
          <w:lang w:val="ro-RO"/>
        </w:rPr>
        <w:t>Rentabilitatea financiară a unei investiții este evaluată prin estimarea valorii actualizate nete financiare și a ratei de rentabilitate financiară a investiției [VANF/C și RRF/C]</w:t>
      </w:r>
      <w:r w:rsidRPr="00ED3410">
        <w:rPr>
          <w:rStyle w:val="FootnoteReference"/>
          <w:rFonts w:ascii="Times New Roman" w:hAnsi="Times New Roman"/>
          <w:lang w:val="ro-RO"/>
        </w:rPr>
        <w:footnoteReference w:id="1"/>
      </w:r>
      <w:r w:rsidRPr="00ED3410">
        <w:rPr>
          <w:rFonts w:ascii="Times New Roman" w:hAnsi="Times New Roman"/>
          <w:lang w:val="ro-RO"/>
        </w:rPr>
        <w:t xml:space="preserve">. Acești indicatori compară costurile de investiție cu veniturile nete și stabilesc în ce măsură veniturile nete ale proiectului sunt în măsură să ramburseze investițiile, </w:t>
      </w:r>
      <w:r w:rsidRPr="00ED3410">
        <w:rPr>
          <w:rFonts w:ascii="Times New Roman" w:hAnsi="Times New Roman"/>
          <w:b/>
          <w:lang w:val="ro-RO"/>
        </w:rPr>
        <w:t>indiferent de sursele de finanțare</w:t>
      </w:r>
      <w:r w:rsidRPr="00ED3410">
        <w:rPr>
          <w:rFonts w:ascii="Times New Roman" w:hAnsi="Times New Roman"/>
          <w:lang w:val="ro-RO"/>
        </w:rPr>
        <w:t>.</w:t>
      </w:r>
    </w:p>
    <w:p w14:paraId="61A4076E" w14:textId="77777777" w:rsidR="00875D13" w:rsidRPr="00ED3410" w:rsidRDefault="00875D13" w:rsidP="00875D13">
      <w:pPr>
        <w:pStyle w:val="Default"/>
        <w:spacing w:after="120"/>
        <w:ind w:left="360"/>
        <w:jc w:val="both"/>
        <w:rPr>
          <w:sz w:val="22"/>
          <w:szCs w:val="22"/>
          <w:lang w:val="ro-RO"/>
        </w:rPr>
      </w:pPr>
      <w:r w:rsidRPr="00ED3410">
        <w:rPr>
          <w:sz w:val="22"/>
          <w:szCs w:val="22"/>
          <w:lang w:val="ro-RO"/>
        </w:rPr>
        <w:t xml:space="preserve">Indicatorii rentabilității financiare a investiției se calculează pe baza </w:t>
      </w:r>
      <w:r w:rsidRPr="00ED3410">
        <w:rPr>
          <w:b/>
          <w:sz w:val="22"/>
          <w:szCs w:val="22"/>
          <w:lang w:val="ro-RO"/>
        </w:rPr>
        <w:t>fluxului de numerar net incremental</w:t>
      </w:r>
      <w:r w:rsidRPr="00ED3410">
        <w:rPr>
          <w:sz w:val="22"/>
          <w:szCs w:val="22"/>
          <w:lang w:val="ro-RO"/>
        </w:rPr>
        <w:t>, care se calculează ca diferență între fluxul de numerar net generat de scenariul cu proiect și fluxul de numerar net generat de scenariul contrafactual.</w:t>
      </w:r>
    </w:p>
    <w:p w14:paraId="6CBDDEC6" w14:textId="77777777" w:rsidR="00875D13" w:rsidRPr="00ED3410" w:rsidRDefault="00875D13" w:rsidP="00875D13">
      <w:pPr>
        <w:pStyle w:val="Default"/>
        <w:spacing w:after="120"/>
        <w:ind w:left="360"/>
        <w:jc w:val="both"/>
        <w:rPr>
          <w:sz w:val="22"/>
          <w:szCs w:val="22"/>
          <w:lang w:val="ro-RO"/>
        </w:rPr>
      </w:pPr>
      <w:r w:rsidRPr="00ED3410">
        <w:rPr>
          <w:b/>
          <w:sz w:val="22"/>
          <w:szCs w:val="22"/>
          <w:lang w:val="ro-RO"/>
        </w:rPr>
        <w:t>Fluxul de numerar net</w:t>
      </w:r>
      <w:r w:rsidRPr="00ED3410">
        <w:rPr>
          <w:sz w:val="22"/>
          <w:szCs w:val="22"/>
          <w:lang w:val="ro-RO"/>
        </w:rPr>
        <w:t xml:space="preserve"> reprezintă diferența dintre intrările de numerar și ieșirile de numerar.</w:t>
      </w:r>
    </w:p>
    <w:p w14:paraId="4B184DA3" w14:textId="77777777" w:rsidR="00875D13" w:rsidRPr="00ED3410" w:rsidRDefault="00875D13" w:rsidP="00875D13">
      <w:pPr>
        <w:pStyle w:val="Default"/>
        <w:spacing w:after="120"/>
        <w:ind w:left="360"/>
        <w:jc w:val="both"/>
        <w:rPr>
          <w:sz w:val="22"/>
          <w:szCs w:val="22"/>
          <w:lang w:val="ro-RO"/>
        </w:rPr>
      </w:pPr>
      <w:r w:rsidRPr="00ED3410">
        <w:rPr>
          <w:sz w:val="22"/>
          <w:szCs w:val="22"/>
          <w:lang w:val="ro-RO"/>
        </w:rPr>
        <w:t>Datele necesare, recomandate în proiecția fluxurilor de numerar, sunt:</w:t>
      </w:r>
    </w:p>
    <w:p w14:paraId="7E673BDB" w14:textId="77777777" w:rsidR="00875D13" w:rsidRPr="00ED3410" w:rsidRDefault="00875D13" w:rsidP="00875D13">
      <w:pPr>
        <w:pStyle w:val="Default"/>
        <w:spacing w:after="120"/>
        <w:ind w:left="360"/>
        <w:jc w:val="both"/>
        <w:rPr>
          <w:b/>
          <w:sz w:val="22"/>
          <w:szCs w:val="22"/>
          <w:lang w:val="ro-RO"/>
        </w:rPr>
      </w:pPr>
      <w:r w:rsidRPr="00ED3410">
        <w:rPr>
          <w:b/>
          <w:sz w:val="22"/>
          <w:szCs w:val="22"/>
          <w:lang w:val="ro-RO"/>
        </w:rPr>
        <w:t>Ieșiri de numerar</w:t>
      </w:r>
    </w:p>
    <w:p w14:paraId="59703200"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i/>
          <w:szCs w:val="24"/>
          <w:lang w:val="ro-RO"/>
        </w:rPr>
        <w:lastRenderedPageBreak/>
        <w:t>Costurile de investiție</w:t>
      </w:r>
      <w:r w:rsidRPr="00ED3410">
        <w:rPr>
          <w:rFonts w:ascii="Times New Roman" w:hAnsi="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403B0424"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i/>
          <w:szCs w:val="24"/>
          <w:lang w:val="ro-RO"/>
        </w:rPr>
        <w:t>Costurile de înlocuire</w:t>
      </w:r>
      <w:r w:rsidRPr="00ED3410">
        <w:rPr>
          <w:rFonts w:ascii="Times New Roman" w:hAnsi="Times New Roman"/>
          <w:szCs w:val="24"/>
          <w:lang w:val="ro-RO"/>
        </w:rPr>
        <w:t xml:space="preserve"> – includ costurile cu </w:t>
      </w:r>
      <w:r w:rsidRPr="00ED3410">
        <w:rPr>
          <w:rFonts w:ascii="Times New Roman" w:hAnsi="Times New Roman"/>
          <w:lang w:val="ro-RO"/>
        </w:rPr>
        <w:t>înlocuirile de echipamente cu durata de viață economică mai mica decât perioada de referință a proiectului;</w:t>
      </w:r>
    </w:p>
    <w:p w14:paraId="331AA043"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i/>
          <w:szCs w:val="24"/>
          <w:lang w:val="ro-RO"/>
        </w:rPr>
      </w:pPr>
      <w:r w:rsidRPr="00ED3410">
        <w:rPr>
          <w:rFonts w:ascii="Times New Roman" w:hAnsi="Times New Roman"/>
          <w:i/>
          <w:szCs w:val="24"/>
          <w:lang w:val="ro-RO"/>
        </w:rPr>
        <w:t xml:space="preserve">Costurile de operare </w:t>
      </w:r>
      <w:r w:rsidRPr="00ED3410">
        <w:rPr>
          <w:rFonts w:ascii="Times New Roman" w:hAnsi="Times New Roman"/>
          <w:szCs w:val="24"/>
          <w:lang w:val="ro-RO"/>
        </w:rPr>
        <w:t>–</w:t>
      </w:r>
      <w:r w:rsidRPr="00ED3410">
        <w:rPr>
          <w:rFonts w:ascii="Times New Roman" w:hAnsi="Times New Roman"/>
          <w:i/>
          <w:szCs w:val="24"/>
          <w:lang w:val="ro-RO"/>
        </w:rPr>
        <w:t xml:space="preserve"> </w:t>
      </w:r>
      <w:r w:rsidRPr="00ED3410">
        <w:rPr>
          <w:rFonts w:ascii="Times New Roman" w:hAnsi="Times New Roman"/>
          <w:lang w:val="ro-RO"/>
        </w:rPr>
        <w:t xml:space="preserve">includ toate costurile generate de </w:t>
      </w:r>
      <w:r w:rsidRPr="00ED3410">
        <w:rPr>
          <w:rFonts w:ascii="Times New Roman" w:hAnsi="Times New Roman"/>
          <w:i/>
          <w:lang w:val="ro-RO"/>
        </w:rPr>
        <w:t>operarea și întreținerea</w:t>
      </w:r>
      <w:r w:rsidRPr="00ED3410">
        <w:rPr>
          <w:rFonts w:ascii="Times New Roman" w:hAnsi="Times New Roman"/>
          <w:lang w:val="ro-RO"/>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 Se au în vedere costurile cu personalul, costurile cu întreținerea și reparațiile, costurile generale de administrație; costurile variabile de funcționare, consumul de materii prime, energie și alte consumabile</w:t>
      </w:r>
      <w:r w:rsidR="00AA2DCE" w:rsidRPr="00C8471B">
        <w:rPr>
          <w:rFonts w:ascii="Times New Roman" w:hAnsi="Times New Roman"/>
          <w:lang w:val="ro-RO"/>
        </w:rPr>
        <w:t xml:space="preserve"> </w:t>
      </w:r>
      <w:r w:rsidR="00C8471B">
        <w:rPr>
          <w:rFonts w:ascii="Times New Roman" w:hAnsi="Times New Roman"/>
          <w:lang w:val="ro-RO"/>
        </w:rPr>
        <w:t>generate de funcționarea</w:t>
      </w:r>
      <w:r w:rsidR="00AA2DCE" w:rsidRPr="00C8471B">
        <w:rPr>
          <w:rFonts w:ascii="Times New Roman" w:hAnsi="Times New Roman"/>
          <w:lang w:val="ro-RO"/>
        </w:rPr>
        <w:t xml:space="preserve"> sistemului de monitorizare.</w:t>
      </w:r>
    </w:p>
    <w:p w14:paraId="1F82F33F" w14:textId="77777777" w:rsidR="00875D13" w:rsidRPr="00ED3410" w:rsidRDefault="00875D13" w:rsidP="00875D13">
      <w:pPr>
        <w:pStyle w:val="ListParagraph"/>
        <w:autoSpaceDE w:val="0"/>
        <w:autoSpaceDN w:val="0"/>
        <w:adjustRightInd w:val="0"/>
        <w:spacing w:after="120"/>
        <w:rPr>
          <w:rFonts w:ascii="Times New Roman" w:hAnsi="Times New Roman"/>
          <w:i/>
          <w:szCs w:val="24"/>
          <w:lang w:val="ro-RO"/>
        </w:rPr>
      </w:pPr>
    </w:p>
    <w:p w14:paraId="7DBA879B" w14:textId="77777777" w:rsidR="00875D13" w:rsidRPr="00ED3410" w:rsidRDefault="00875D13" w:rsidP="00875D13">
      <w:pPr>
        <w:pStyle w:val="Default"/>
        <w:spacing w:after="120"/>
        <w:ind w:left="360"/>
        <w:jc w:val="both"/>
        <w:rPr>
          <w:b/>
          <w:lang w:val="ro-RO"/>
        </w:rPr>
      </w:pPr>
      <w:r w:rsidRPr="00ED3410">
        <w:rPr>
          <w:b/>
          <w:lang w:val="ro-RO"/>
        </w:rPr>
        <w:t xml:space="preserve">Intrări de numerar </w:t>
      </w:r>
    </w:p>
    <w:p w14:paraId="77F14FB3" w14:textId="7346ACBC"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i/>
          <w:szCs w:val="24"/>
          <w:lang w:val="ro-RO"/>
        </w:rPr>
        <w:t xml:space="preserve">Veniturile din operare </w:t>
      </w:r>
      <w:r w:rsidR="00D94072" w:rsidRPr="00C8471B">
        <w:rPr>
          <w:rFonts w:ascii="Times New Roman" w:hAnsi="Times New Roman"/>
          <w:szCs w:val="24"/>
          <w:lang w:val="ro-RO"/>
        </w:rPr>
        <w:t>în cazul OS 6.2</w:t>
      </w:r>
      <w:r w:rsidR="00A52590">
        <w:rPr>
          <w:rFonts w:ascii="Times New Roman" w:hAnsi="Times New Roman"/>
          <w:szCs w:val="24"/>
          <w:lang w:val="ro-RO"/>
        </w:rPr>
        <w:t>/</w:t>
      </w:r>
      <w:r w:rsidR="00A52590" w:rsidRPr="00A52590">
        <w:rPr>
          <w:rFonts w:ascii="Times New Roman" w:eastAsia="Calibri" w:hAnsi="Times New Roman"/>
          <w:szCs w:val="24"/>
          <w:lang w:val="ro-RO"/>
        </w:rPr>
        <w:t xml:space="preserve"> </w:t>
      </w:r>
      <w:r w:rsidR="00A52590">
        <w:rPr>
          <w:rFonts w:ascii="Times New Roman" w:eastAsia="Calibri" w:hAnsi="Times New Roman"/>
          <w:szCs w:val="24"/>
          <w:lang w:val="ro-RO"/>
        </w:rPr>
        <w:t>REACT-EU (după caz)</w:t>
      </w:r>
      <w:r w:rsidR="00D94072" w:rsidRPr="00C8471B">
        <w:rPr>
          <w:rFonts w:ascii="Times New Roman" w:hAnsi="Times New Roman"/>
          <w:szCs w:val="24"/>
          <w:lang w:val="ro-RO"/>
        </w:rPr>
        <w:t xml:space="preserve"> se constituie din veniturile generate de operarea infrastructurii Solicitantului. La nivel incremental, veniturile din operare se vor constitui </w:t>
      </w:r>
      <w:r w:rsidR="00D94072" w:rsidRPr="00ED3410">
        <w:rPr>
          <w:rFonts w:ascii="Times New Roman" w:hAnsi="Times New Roman"/>
          <w:szCs w:val="24"/>
          <w:u w:val="single"/>
          <w:lang w:val="ro-RO"/>
        </w:rPr>
        <w:t xml:space="preserve">doar din </w:t>
      </w:r>
      <w:r w:rsidR="00D94072" w:rsidRPr="00ED3410">
        <w:rPr>
          <w:rFonts w:ascii="Times New Roman" w:hAnsi="Times New Roman"/>
          <w:color w:val="000000"/>
          <w:u w:val="single"/>
          <w:lang w:val="ro-RO"/>
        </w:rPr>
        <w:t>economiile de energie, generate de implementarea proiectului</w:t>
      </w:r>
      <w:r w:rsidR="00D94072" w:rsidRPr="00C8471B">
        <w:rPr>
          <w:rFonts w:ascii="Times New Roman" w:hAnsi="Times New Roman"/>
          <w:szCs w:val="24"/>
          <w:lang w:val="ro-RO"/>
        </w:rPr>
        <w:t>.</w:t>
      </w:r>
    </w:p>
    <w:p w14:paraId="7F8B72BF"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p>
    <w:p w14:paraId="23BDF8CF"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ED3410">
        <w:rPr>
          <w:rFonts w:ascii="Times New Roman" w:hAnsi="Times New Roman"/>
          <w:b/>
          <w:szCs w:val="24"/>
          <w:lang w:val="ro-RO"/>
        </w:rPr>
        <w:t>Fluxul de numerar net incremental</w:t>
      </w:r>
      <w:r w:rsidRPr="00C8471B">
        <w:rPr>
          <w:rFonts w:ascii="Times New Roman" w:hAnsi="Times New Roman"/>
          <w:szCs w:val="24"/>
          <w:lang w:val="ro-RO"/>
        </w:rPr>
        <w:t xml:space="preserve"> ar trebui să evidențieze beneficiile obţinute în urma implementării </w:t>
      </w:r>
      <w:r w:rsidR="00AA2DCE" w:rsidRPr="00C8471B">
        <w:rPr>
          <w:rFonts w:ascii="Times New Roman" w:hAnsi="Times New Roman"/>
          <w:szCs w:val="24"/>
          <w:lang w:val="ro-RO"/>
        </w:rPr>
        <w:t>sistemului de monitorizare</w:t>
      </w:r>
      <w:r w:rsidRPr="00C8471B">
        <w:rPr>
          <w:rFonts w:ascii="Times New Roman" w:hAnsi="Times New Roman"/>
          <w:szCs w:val="24"/>
          <w:lang w:val="ro-RO"/>
        </w:rPr>
        <w:t xml:space="preserve">, </w:t>
      </w:r>
      <w:r w:rsidR="00AA2DCE" w:rsidRPr="00C8471B">
        <w:rPr>
          <w:rFonts w:ascii="Times New Roman" w:hAnsi="Times New Roman"/>
          <w:szCs w:val="24"/>
          <w:lang w:val="ro-RO"/>
        </w:rPr>
        <w:t>respectiv economia de energie asumată/estimată ca urmare a implementării măsurilor non-cost aferente funcționării sistemului de monitorizare ajustate cu costurile de operare generate de funcționarea sistemului de monitorizare</w:t>
      </w:r>
      <w:r w:rsidRPr="00C8471B">
        <w:rPr>
          <w:rFonts w:ascii="Times New Roman" w:hAnsi="Times New Roman"/>
          <w:szCs w:val="24"/>
          <w:lang w:val="ro-RO"/>
        </w:rPr>
        <w:t>.</w:t>
      </w:r>
    </w:p>
    <w:p w14:paraId="49FED492" w14:textId="77777777" w:rsidR="00875D13" w:rsidRPr="00ED3410" w:rsidRDefault="00875D13" w:rsidP="00875D13">
      <w:pPr>
        <w:autoSpaceDE w:val="0"/>
        <w:autoSpaceDN w:val="0"/>
        <w:adjustRightInd w:val="0"/>
        <w:spacing w:after="0" w:line="240" w:lineRule="auto"/>
        <w:ind w:left="360"/>
        <w:jc w:val="both"/>
        <w:rPr>
          <w:rFonts w:ascii="Times New Roman" w:hAnsi="Times New Roman"/>
          <w:sz w:val="28"/>
          <w:szCs w:val="24"/>
          <w:lang w:val="ro-RO"/>
        </w:rPr>
      </w:pPr>
      <w:r w:rsidRPr="00C8471B">
        <w:rPr>
          <w:rFonts w:ascii="Times New Roman" w:hAnsi="Times New Roman"/>
          <w:szCs w:val="24"/>
          <w:lang w:val="ro-RO"/>
        </w:rPr>
        <w:t xml:space="preserve">Valoarea indicatorilor de rentabilitate financiară ai investiției arată capacitatea veniturilor nete generate de proiect de a acoperi costurile de investiții, indiferent de modalitatea în care acestea sunt finanțate. </w:t>
      </w:r>
    </w:p>
    <w:p w14:paraId="502DC7CB"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r w:rsidRPr="00AD7CA8">
        <w:rPr>
          <w:rFonts w:ascii="Times New Roman" w:hAnsi="Times New Roman"/>
          <w:i/>
          <w:noProof/>
          <w:szCs w:val="24"/>
          <w:lang w:val="ro-RO" w:eastAsia="ro-RO"/>
        </w:rPr>
        <mc:AlternateContent>
          <mc:Choice Requires="wps">
            <w:drawing>
              <wp:anchor distT="0" distB="0" distL="114300" distR="114300" simplePos="0" relativeHeight="251658752" behindDoc="0" locked="0" layoutInCell="1" allowOverlap="1" wp14:anchorId="7F26DEC8" wp14:editId="113D9559">
                <wp:simplePos x="0" y="0"/>
                <wp:positionH relativeFrom="page">
                  <wp:posOffset>1219200</wp:posOffset>
                </wp:positionH>
                <wp:positionV relativeFrom="paragraph">
                  <wp:posOffset>135255</wp:posOffset>
                </wp:positionV>
                <wp:extent cx="5289452" cy="2390775"/>
                <wp:effectExtent l="0" t="0" r="26035" b="28575"/>
                <wp:wrapNone/>
                <wp:docPr id="1" name="Dreptunghi: colțuri diagonale rotunjite 1"/>
                <wp:cNvGraphicFramePr/>
                <a:graphic xmlns:a="http://schemas.openxmlformats.org/drawingml/2006/main">
                  <a:graphicData uri="http://schemas.microsoft.com/office/word/2010/wordprocessingShape">
                    <wps:wsp>
                      <wps:cNvSpPr/>
                      <wps:spPr>
                        <a:xfrm>
                          <a:off x="0" y="0"/>
                          <a:ext cx="5289452" cy="23907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0CBD9C" w14:textId="77777777" w:rsidR="00875D13" w:rsidRPr="00AA2DCE" w:rsidRDefault="00875D13" w:rsidP="00875D13">
                            <w:pPr>
                              <w:jc w:val="both"/>
                              <w:rPr>
                                <w:rFonts w:ascii="Times New Roman" w:hAnsi="Times New Roman"/>
                                <w:b/>
                                <w:sz w:val="20"/>
                                <w:szCs w:val="20"/>
                                <w:lang w:val="ro-RO"/>
                              </w:rPr>
                            </w:pPr>
                            <w:r w:rsidRPr="00AA2DCE">
                              <w:rPr>
                                <w:rFonts w:ascii="Times New Roman" w:hAnsi="Times New Roman"/>
                                <w:b/>
                                <w:sz w:val="20"/>
                                <w:szCs w:val="20"/>
                                <w:lang w:val="ro-RO"/>
                              </w:rPr>
                              <w:t>Atenție!</w:t>
                            </w:r>
                          </w:p>
                          <w:p w14:paraId="24D2C4A4" w14:textId="77777777" w:rsidR="00875D13" w:rsidRPr="00AA2DCE" w:rsidRDefault="00875D13" w:rsidP="00875D13">
                            <w:pPr>
                              <w:spacing w:after="0"/>
                              <w:jc w:val="both"/>
                              <w:rPr>
                                <w:rFonts w:ascii="Times New Roman" w:hAnsi="Times New Roman"/>
                                <w:sz w:val="20"/>
                                <w:szCs w:val="20"/>
                                <w:lang w:val="ro-RO"/>
                              </w:rPr>
                            </w:pPr>
                            <w:r w:rsidRPr="00AA2DCE">
                              <w:rPr>
                                <w:rFonts w:ascii="Times New Roman" w:hAnsi="Times New Roman"/>
                                <w:sz w:val="20"/>
                                <w:szCs w:val="20"/>
                                <w:lang w:val="ro-RO"/>
                              </w:rPr>
                              <w:t>La calculul indicatorilor de rentabilitate financiară ai investiției trebuie avute în vedere următoarele aspecte:</w:t>
                            </w:r>
                          </w:p>
                          <w:p w14:paraId="44CE9F8B"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20"/>
                                <w:szCs w:val="20"/>
                                <w:lang w:val="ro-RO"/>
                              </w:rPr>
                            </w:pPr>
                            <w:r w:rsidRPr="00ED3410">
                              <w:rPr>
                                <w:rFonts w:ascii="Times New Roman" w:hAnsi="Times New Roman"/>
                                <w:sz w:val="20"/>
                                <w:szCs w:val="20"/>
                                <w:lang w:val="ro-RO"/>
                              </w:rPr>
                              <w:t>Fluxurile financiare de natura dobânzilor şi rambursărilor de credite se exclud din ieșirile de numerar ale proiectului pentru calculul indicatorilor de performanţă ai proiectului. De asemenea, nu se iau în considerare impozitele, taxele şi alte ieşiri de numerar care nu sunt legate de costurile de operare;</w:t>
                            </w:r>
                          </w:p>
                          <w:p w14:paraId="45CB7AC7"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ro-RO"/>
                              </w:rPr>
                              <w:t xml:space="preserve">În cazul în care taxa pe valoarea adăugată nu este un cost eligibil în conformitate cu articolul 69 alineatul (3) litera (c) din </w:t>
                            </w:r>
                            <w:r w:rsidRPr="00ED3410">
                              <w:rPr>
                                <w:rFonts w:ascii="Times New Roman" w:hAnsi="Times New Roman"/>
                                <w:sz w:val="20"/>
                                <w:lang w:val="pt-BR"/>
                              </w:rPr>
                              <w:t>Regulamentul (UE) nr. 1303/2013, calculul venitului net actualizat se bazeazã pe cifre care exclud taxa pe valoarea adăugată;</w:t>
                            </w:r>
                          </w:p>
                          <w:p w14:paraId="2A31F19F"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pt-BR"/>
                              </w:rPr>
                              <w:t>Fluxurile de numerar de tipul subvențiilor, creditelor bancare, cofinanțarea UE nu sunt incluse în intrările de numerar ale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26DEC8" id="Dreptunghi: colțuri diagonale rotunjite 1" o:spid="_x0000_s1026" style="position:absolute;left:0;text-align:left;margin-left:96pt;margin-top:10.65pt;width:416.5pt;height:188.25pt;z-index:25165875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5289452,2390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" adj="-11796480,,5400" path="m398470,l5289452,r,l5289452,1992305v,220069,-178401,398470,-398470,398470l,2390775r,l,398470c,178401,178401,,398470,xe" fillcolor="#4f81bd [3204]" strokecolor="#243f60 [1604]" strokeweight="2pt">
                <v:stroke joinstyle="miter"/>
                <v:formulas/>
                <v:path arrowok="t" o:connecttype="custom" o:connectlocs="398470,0;5289452,0;5289452,0;5289452,1992305;4890982,2390775;0,2390775;0,2390775;0,398470;398470,0" o:connectangles="0,0,0,0,0,0,0,0,0" textboxrect="0,0,5289452,2390775"/>
                <v:textbox>
                  <w:txbxContent>
                    <w:p w14:paraId="150CBD9C" w14:textId="77777777" w:rsidR="00875D13" w:rsidRPr="00AA2DCE" w:rsidRDefault="00875D13" w:rsidP="00875D13">
                      <w:pPr>
                        <w:jc w:val="both"/>
                        <w:rPr>
                          <w:rFonts w:ascii="Times New Roman" w:hAnsi="Times New Roman"/>
                          <w:b/>
                          <w:sz w:val="20"/>
                          <w:szCs w:val="20"/>
                          <w:lang w:val="ro-RO"/>
                        </w:rPr>
                      </w:pPr>
                      <w:r w:rsidRPr="00AA2DCE">
                        <w:rPr>
                          <w:rFonts w:ascii="Times New Roman" w:hAnsi="Times New Roman"/>
                          <w:b/>
                          <w:sz w:val="20"/>
                          <w:szCs w:val="20"/>
                          <w:lang w:val="ro-RO"/>
                        </w:rPr>
                        <w:t>Atenție!</w:t>
                      </w:r>
                    </w:p>
                    <w:p w14:paraId="24D2C4A4" w14:textId="77777777" w:rsidR="00875D13" w:rsidRPr="00AA2DCE" w:rsidRDefault="00875D13" w:rsidP="00875D13">
                      <w:pPr>
                        <w:spacing w:after="0"/>
                        <w:jc w:val="both"/>
                        <w:rPr>
                          <w:rFonts w:ascii="Times New Roman" w:hAnsi="Times New Roman"/>
                          <w:sz w:val="20"/>
                          <w:szCs w:val="20"/>
                          <w:lang w:val="ro-RO"/>
                        </w:rPr>
                      </w:pPr>
                      <w:r w:rsidRPr="00AA2DCE">
                        <w:rPr>
                          <w:rFonts w:ascii="Times New Roman" w:hAnsi="Times New Roman"/>
                          <w:sz w:val="20"/>
                          <w:szCs w:val="20"/>
                          <w:lang w:val="ro-RO"/>
                        </w:rPr>
                        <w:t>La calculul indicatorilor de rentabilitate financiară ai investiției trebuie avute în vedere următoarele aspecte:</w:t>
                      </w:r>
                    </w:p>
                    <w:p w14:paraId="44CE9F8B"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20"/>
                          <w:szCs w:val="20"/>
                          <w:lang w:val="ro-RO"/>
                        </w:rPr>
                      </w:pPr>
                      <w:r w:rsidRPr="00ED3410">
                        <w:rPr>
                          <w:rFonts w:ascii="Times New Roman" w:hAnsi="Times New Roman"/>
                          <w:sz w:val="20"/>
                          <w:szCs w:val="20"/>
                          <w:lang w:val="ro-RO"/>
                        </w:rPr>
                        <w:t>Fluxurile financiare de natura dobânzilor şi rambursărilor de credite se exclud din ieșirile de numerar ale proiectului pentru calculul indicatorilor de performanţă ai proiectului. De asemenea, nu se iau în considerare impozitele, taxele şi alte ieşiri de numerar care nu sunt legate de costurile de operare;</w:t>
                      </w:r>
                    </w:p>
                    <w:p w14:paraId="45CB7AC7"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ro-RO"/>
                        </w:rPr>
                        <w:t xml:space="preserve">În cazul în care taxa pe valoarea adăugată nu este un cost eligibil în conformitate cu articolul 69 alineatul (3) litera (c) din </w:t>
                      </w:r>
                      <w:r w:rsidRPr="00ED3410">
                        <w:rPr>
                          <w:rFonts w:ascii="Times New Roman" w:hAnsi="Times New Roman"/>
                          <w:sz w:val="20"/>
                          <w:lang w:val="pt-BR"/>
                        </w:rPr>
                        <w:t>Regulamentul (UE) nr. 1303/2013, calculul venitului net actualizat se bazeazã pe cifre care exclud taxa pe valoarea adăugată;</w:t>
                      </w:r>
                    </w:p>
                    <w:p w14:paraId="2A31F19F"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pt-BR"/>
                        </w:rPr>
                        <w:t>Fluxurile de numerar de tipul subvențiilor, creditelor bancare, cofinanțarea UE nu sunt incluse în intrările de numerar ale proiectului.</w:t>
                      </w:r>
                    </w:p>
                  </w:txbxContent>
                </v:textbox>
                <w10:wrap anchorx="page"/>
              </v:shape>
            </w:pict>
          </mc:Fallback>
        </mc:AlternateContent>
      </w:r>
    </w:p>
    <w:p w14:paraId="0756A006"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2145C186"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0C1E0621"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76DDC84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355A012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58EBCEA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69648695"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508BE3C3"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21AD7D51" w14:textId="77777777" w:rsidR="00875D13" w:rsidRPr="00C8471B" w:rsidRDefault="00875D13" w:rsidP="00875D13">
      <w:pPr>
        <w:numPr>
          <w:ilvl w:val="1"/>
          <w:numId w:val="2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Determinarea contribuției maxime din fondurile UE (ajutorul de stat)</w:t>
      </w:r>
    </w:p>
    <w:p w14:paraId="17AD5F39" w14:textId="77777777" w:rsidR="00AA2DCE" w:rsidRPr="00C8471B" w:rsidRDefault="00AA2DCE" w:rsidP="00875D13">
      <w:pPr>
        <w:shd w:val="clear" w:color="auto" w:fill="FFFFFF"/>
        <w:spacing w:after="120" w:line="240" w:lineRule="auto"/>
        <w:ind w:left="360"/>
        <w:jc w:val="both"/>
        <w:rPr>
          <w:rFonts w:ascii="Times New Roman" w:hAnsi="Times New Roman"/>
          <w:szCs w:val="24"/>
          <w:lang w:val="ro-RO"/>
        </w:rPr>
      </w:pPr>
    </w:p>
    <w:p w14:paraId="712ADC87" w14:textId="77777777" w:rsidR="00875D13" w:rsidRPr="00ED3410" w:rsidRDefault="00875D13" w:rsidP="00875D13">
      <w:pPr>
        <w:shd w:val="clear" w:color="auto" w:fill="FFFFFF"/>
        <w:spacing w:after="120" w:line="240" w:lineRule="auto"/>
        <w:ind w:left="360"/>
        <w:jc w:val="both"/>
        <w:rPr>
          <w:rFonts w:ascii="Times New Roman" w:hAnsi="Times New Roman"/>
          <w:szCs w:val="24"/>
          <w:lang w:val="ro-RO"/>
        </w:rPr>
      </w:pPr>
    </w:p>
    <w:p w14:paraId="145B2A8C" w14:textId="77777777" w:rsidR="00875D13" w:rsidRPr="00C8471B" w:rsidRDefault="00875D13" w:rsidP="00ED3410">
      <w:pPr>
        <w:pStyle w:val="ListParagraph"/>
        <w:numPr>
          <w:ilvl w:val="2"/>
          <w:numId w:val="1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Verificarea sustenabilității financiare</w:t>
      </w:r>
    </w:p>
    <w:p w14:paraId="087BE7F2"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lastRenderedPageBreak/>
        <w:t xml:space="preserve">Analiza de sustenabilitate financiară se bazează pe proiecții privind </w:t>
      </w:r>
      <w:r w:rsidRPr="00ED3410">
        <w:rPr>
          <w:rFonts w:ascii="Times New Roman" w:hAnsi="Times New Roman"/>
          <w:b/>
          <w:szCs w:val="24"/>
          <w:lang w:val="ro-RO"/>
        </w:rPr>
        <w:t>fluxul de numerar neactualizat</w:t>
      </w:r>
      <w:r w:rsidRPr="00C8471B">
        <w:rPr>
          <w:rFonts w:ascii="Times New Roman" w:hAnsi="Times New Roman"/>
          <w:szCs w:val="24"/>
          <w:lang w:val="ro-RO"/>
        </w:rPr>
        <w:t xml:space="preserve">. </w:t>
      </w:r>
    </w:p>
    <w:p w14:paraId="147DF367"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t xml:space="preserve">Ea este utilizată, în principal, pentru a demonstra că proiectul va dispune de lichidități suficiente de la an la an pentru a-și acoperi costurile de investiție și operaționale pe parcursul întregii perioade de referință. </w:t>
      </w:r>
    </w:p>
    <w:p w14:paraId="3EEF6AA5"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t>Principalele aspecte ale analizei de sustenabilitate financiară sunt următoarele:</w:t>
      </w:r>
    </w:p>
    <w:p w14:paraId="01DB0693"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 xml:space="preserve">Sustenabilitatea financiară a proiectului este asigurată prin verificarea faptului că </w:t>
      </w:r>
      <w:r w:rsidRPr="00ED3410">
        <w:rPr>
          <w:rFonts w:ascii="Times New Roman" w:hAnsi="Times New Roman"/>
          <w:b/>
          <w:szCs w:val="24"/>
          <w:lang w:val="ro-RO"/>
        </w:rPr>
        <w:t xml:space="preserve">fluxul de numerar net cumulat </w:t>
      </w:r>
      <w:r w:rsidRPr="00ED3410">
        <w:rPr>
          <w:rFonts w:ascii="Times New Roman" w:hAnsi="Times New Roman"/>
          <w:szCs w:val="24"/>
          <w:lang w:val="ro-RO"/>
        </w:rPr>
        <w:t>(neactualizat) este pozitiv (sau egal cu zero) pentru fiecare an și pe parcursul întregii perioade de referință luate în considerare;</w:t>
      </w:r>
    </w:p>
    <w:p w14:paraId="4A97E595"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 xml:space="preserve">Sustenabilitatea financiară se verifică pe fluxul de numerar rezultat din proiecțiile financiare în cazul </w:t>
      </w:r>
      <w:r w:rsidRPr="00ED3410">
        <w:rPr>
          <w:rFonts w:ascii="Times New Roman" w:hAnsi="Times New Roman"/>
          <w:b/>
          <w:szCs w:val="24"/>
          <w:lang w:val="ro-RO"/>
        </w:rPr>
        <w:t>scenariului cu proiect</w:t>
      </w:r>
      <w:r w:rsidRPr="00ED3410">
        <w:rPr>
          <w:rFonts w:ascii="Times New Roman" w:hAnsi="Times New Roman"/>
          <w:szCs w:val="24"/>
          <w:lang w:val="ro-RO"/>
        </w:rPr>
        <w:t>;</w:t>
      </w:r>
    </w:p>
    <w:p w14:paraId="404F571A"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3ECD6659"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să nu țină seama de valoarea reziduală decât dacă activul este lichidat în ultimul an de analiză luat în considerare.</w:t>
      </w:r>
    </w:p>
    <w:p w14:paraId="68DC3F5E" w14:textId="77777777" w:rsidR="00875D13" w:rsidRPr="00ED3410" w:rsidRDefault="00875D13" w:rsidP="00875D13">
      <w:pPr>
        <w:spacing w:after="120" w:line="240" w:lineRule="auto"/>
        <w:ind w:left="360"/>
        <w:jc w:val="both"/>
        <w:rPr>
          <w:rFonts w:ascii="Times New Roman" w:hAnsi="Times New Roman"/>
          <w:lang w:val="ro-RO"/>
        </w:rPr>
      </w:pPr>
      <w:r w:rsidRPr="00ED3410">
        <w:rPr>
          <w:rFonts w:ascii="Times New Roman" w:hAnsi="Times New Roman"/>
          <w:lang w:val="ro-RO"/>
        </w:rPr>
        <w:t>Sustenabilitatea financiară a proiectului se va evalua în corelare cu:</w:t>
      </w:r>
    </w:p>
    <w:p w14:paraId="6477ED96"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graficul de realizare a investiţiei versus proiecţia lunară a fluxului de numerar pe perioada de realizare a investiţiei;</w:t>
      </w:r>
    </w:p>
    <w:p w14:paraId="7F70F83E" w14:textId="6C52B542" w:rsidR="00070B83" w:rsidRPr="00ED3410" w:rsidRDefault="00875D13" w:rsidP="00ED3410">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4C7DBA4B" w14:textId="56F3C974" w:rsidR="00C06990" w:rsidRPr="00ED3410" w:rsidRDefault="00C06990" w:rsidP="00ED3410">
      <w:pPr>
        <w:pStyle w:val="ListParagraph"/>
        <w:jc w:val="both"/>
        <w:rPr>
          <w:rFonts w:ascii="Times New Roman" w:hAnsi="Times New Roman"/>
          <w:lang w:val="ro-RO"/>
        </w:rPr>
      </w:pPr>
    </w:p>
    <w:p w14:paraId="0E60A677" w14:textId="77777777" w:rsidR="00781715" w:rsidRPr="00ED3410" w:rsidRDefault="00781715" w:rsidP="00781715">
      <w:pPr>
        <w:autoSpaceDE w:val="0"/>
        <w:autoSpaceDN w:val="0"/>
        <w:adjustRightInd w:val="0"/>
        <w:jc w:val="both"/>
        <w:rPr>
          <w:rFonts w:ascii="Times New Roman" w:hAnsi="Times New Roman"/>
          <w:i/>
          <w:lang w:val="ro-RO"/>
        </w:rPr>
      </w:pPr>
      <w:r w:rsidRPr="00ED3410">
        <w:rPr>
          <w:rFonts w:ascii="Times New Roman" w:hAnsi="Times New Roman"/>
          <w:i/>
          <w:lang w:val="ro-RO"/>
        </w:rPr>
        <w:t xml:space="preserve">    4. Analiza de senzitivitate.</w:t>
      </w:r>
    </w:p>
    <w:p w14:paraId="2CDEE731" w14:textId="77777777" w:rsidR="00781715" w:rsidRPr="00ED3410" w:rsidRDefault="00781715" w:rsidP="00781715">
      <w:pPr>
        <w:autoSpaceDE w:val="0"/>
        <w:autoSpaceDN w:val="0"/>
        <w:adjustRightInd w:val="0"/>
        <w:jc w:val="both"/>
        <w:rPr>
          <w:rFonts w:ascii="Times New Roman" w:hAnsi="Times New Roman"/>
          <w:lang w:val="ro-RO"/>
        </w:rPr>
      </w:pPr>
      <w:r w:rsidRPr="00ED3410">
        <w:rPr>
          <w:rFonts w:ascii="Times New Roman" w:hAnsi="Times New Roman"/>
          <w:lang w:val="ro-RO"/>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7E5812F8" w14:textId="77777777" w:rsidR="00172FCF" w:rsidRPr="00ED3410" w:rsidRDefault="00172FCF" w:rsidP="000522AB">
      <w:pPr>
        <w:jc w:val="both"/>
        <w:rPr>
          <w:rFonts w:ascii="Times New Roman" w:hAnsi="Times New Roman"/>
          <w:b/>
          <w:u w:val="single"/>
          <w:lang w:val="ro-RO"/>
        </w:rPr>
      </w:pPr>
      <w:r w:rsidRPr="00ED3410">
        <w:rPr>
          <w:rFonts w:ascii="Times New Roman" w:hAnsi="Times New Roman"/>
          <w:b/>
          <w:u w:val="single"/>
          <w:lang w:val="ro-RO"/>
        </w:rPr>
        <w:t xml:space="preserve">Sursele de finanţare a investiţiei </w:t>
      </w:r>
    </w:p>
    <w:p w14:paraId="13DCC1F0"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14:paraId="1708C1D2" w14:textId="77777777" w:rsidR="00172FCF" w:rsidRPr="00ED3410" w:rsidRDefault="00172FCF" w:rsidP="00FC4862">
      <w:pPr>
        <w:jc w:val="both"/>
        <w:rPr>
          <w:rFonts w:ascii="Times New Roman" w:hAnsi="Times New Roman"/>
          <w:b/>
          <w:u w:val="single"/>
          <w:lang w:val="ro-RO"/>
        </w:rPr>
      </w:pPr>
      <w:r w:rsidRPr="00ED3410">
        <w:rPr>
          <w:rFonts w:ascii="Times New Roman" w:hAnsi="Times New Roman"/>
          <w:b/>
          <w:u w:val="single"/>
          <w:lang w:val="ro-RO"/>
        </w:rPr>
        <w:t>Principalii indicatori tehnico-economici ai investiţiei</w:t>
      </w:r>
    </w:p>
    <w:p w14:paraId="46006084" w14:textId="77777777" w:rsidR="00172FCF" w:rsidRPr="00ED3410" w:rsidRDefault="00172FCF" w:rsidP="00FC4862">
      <w:pPr>
        <w:jc w:val="both"/>
        <w:rPr>
          <w:rFonts w:ascii="Times New Roman" w:hAnsi="Times New Roman"/>
          <w:b/>
          <w:u w:val="single"/>
          <w:lang w:val="ro-RO"/>
        </w:rPr>
      </w:pPr>
      <w:r w:rsidRPr="00ED3410">
        <w:rPr>
          <w:rFonts w:ascii="Times New Roman" w:hAnsi="Times New Roman"/>
          <w:lang w:val="ro-RO"/>
        </w:rPr>
        <w:t>1. valoarea totală (INV), inclusiv TVA (mii lei)</w:t>
      </w:r>
    </w:p>
    <w:p w14:paraId="17838FE2"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(în preţuri - luna, anul, 1 euro = ..... lei),</w:t>
      </w:r>
    </w:p>
    <w:p w14:paraId="2D33821B"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din care:</w:t>
      </w:r>
    </w:p>
    <w:p w14:paraId="2C1317B5"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construcţii-montaj (C+M);</w:t>
      </w:r>
    </w:p>
    <w:p w14:paraId="738142AF"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lastRenderedPageBreak/>
        <w:t>2. eşalonarea investiţiei (INV/C+M):</w:t>
      </w:r>
    </w:p>
    <w:p w14:paraId="40E81BCD"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anul I;</w:t>
      </w:r>
    </w:p>
    <w:p w14:paraId="237F546D"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anul II</w:t>
      </w:r>
    </w:p>
    <w:p w14:paraId="66D6A1FA"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3. durata de realizare (luni);</w:t>
      </w:r>
    </w:p>
    <w:p w14:paraId="5310DF7E"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4. capacităţi (în unităţi fizice şi valorice);</w:t>
      </w:r>
    </w:p>
    <w:p w14:paraId="156AD82A" w14:textId="3C009B70" w:rsidR="00C8471B" w:rsidRDefault="00172FCF" w:rsidP="000522AB">
      <w:pPr>
        <w:jc w:val="both"/>
        <w:rPr>
          <w:rFonts w:ascii="Times New Roman" w:hAnsi="Times New Roman"/>
          <w:lang w:val="ro-RO"/>
        </w:rPr>
      </w:pPr>
      <w:r w:rsidRPr="00ED3410">
        <w:rPr>
          <w:rFonts w:ascii="Times New Roman" w:hAnsi="Times New Roman"/>
          <w:lang w:val="ro-RO"/>
        </w:rPr>
        <w:t>5. alţi indicatori specifici domeniului de activitate în care este realizată investiţia, după caz.</w:t>
      </w:r>
    </w:p>
    <w:p w14:paraId="7E57F844" w14:textId="77777777" w:rsidR="00ED3410" w:rsidRPr="00ED3410" w:rsidRDefault="00ED3410" w:rsidP="000522AB">
      <w:pPr>
        <w:jc w:val="both"/>
        <w:rPr>
          <w:rFonts w:ascii="Times New Roman" w:hAnsi="Times New Roman"/>
          <w:lang w:val="ro-RO"/>
        </w:rPr>
      </w:pPr>
    </w:p>
    <w:p w14:paraId="3EF36E7E" w14:textId="77777777" w:rsidR="00172FCF" w:rsidRPr="00ED3410" w:rsidRDefault="00172FCF" w:rsidP="000522AB">
      <w:pPr>
        <w:jc w:val="both"/>
        <w:rPr>
          <w:rFonts w:ascii="Times New Roman" w:hAnsi="Times New Roman"/>
          <w:b/>
          <w:u w:val="single"/>
          <w:lang w:val="ro-RO"/>
        </w:rPr>
      </w:pPr>
      <w:r w:rsidRPr="00ED3410">
        <w:rPr>
          <w:rFonts w:ascii="Times New Roman" w:hAnsi="Times New Roman"/>
          <w:b/>
          <w:lang w:val="ro-RO"/>
        </w:rPr>
        <w:t xml:space="preserve">    </w:t>
      </w:r>
      <w:r w:rsidRPr="00ED3410">
        <w:rPr>
          <w:rFonts w:ascii="Times New Roman" w:hAnsi="Times New Roman"/>
          <w:b/>
          <w:u w:val="single"/>
          <w:lang w:val="ro-RO"/>
        </w:rPr>
        <w:t xml:space="preserve">Avize şi acorduri de principiu </w:t>
      </w:r>
    </w:p>
    <w:p w14:paraId="1BE2AA32" w14:textId="77777777" w:rsidR="00172FCF" w:rsidRPr="00ED3410" w:rsidRDefault="00172FCF" w:rsidP="000522AB">
      <w:pPr>
        <w:jc w:val="both"/>
        <w:rPr>
          <w:rFonts w:ascii="Times New Roman" w:hAnsi="Times New Roman"/>
          <w:b/>
          <w:lang w:val="ro-RO"/>
        </w:rPr>
      </w:pPr>
      <w:r w:rsidRPr="00ED3410">
        <w:rPr>
          <w:rFonts w:ascii="Times New Roman" w:hAnsi="Times New Roman"/>
          <w:lang w:val="ro-RO"/>
        </w:rPr>
        <w:t xml:space="preserve"> </w:t>
      </w:r>
      <w:r w:rsidRPr="00ED3410">
        <w:rPr>
          <w:rFonts w:ascii="Times New Roman" w:hAnsi="Times New Roman"/>
          <w:b/>
          <w:lang w:val="ro-RO"/>
        </w:rPr>
        <w:t>B. Piese desenate:</w:t>
      </w:r>
    </w:p>
    <w:p w14:paraId="61A81282"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1. plan de amplasare în zonă (1:25000 - 1:5000);</w:t>
      </w:r>
    </w:p>
    <w:p w14:paraId="07DAF6F9"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2. plan general (1: 2000 - 1:500);</w:t>
      </w:r>
    </w:p>
    <w:p w14:paraId="76415797"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3. planuri şi secţiuni generale de arhitectură, rezistenţă, instalaţii, inclusiv planuri de coordonare a tuturor specialităţilor ce concură la realizarea proiectului;</w:t>
      </w:r>
    </w:p>
    <w:p w14:paraId="43CA3158"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4. planuri speciale, profile longitudinale, profile transversale, după caz.</w:t>
      </w:r>
    </w:p>
    <w:p w14:paraId="3ED3CF9D" w14:textId="77777777" w:rsidR="00172FCF" w:rsidRPr="00ED3410" w:rsidRDefault="00172FCF" w:rsidP="000522AB">
      <w:pPr>
        <w:jc w:val="both"/>
        <w:rPr>
          <w:rFonts w:ascii="Times New Roman" w:hAnsi="Times New Roman"/>
          <w:b/>
          <w:bCs/>
          <w:lang w:val="ro-RO"/>
        </w:rPr>
      </w:pPr>
    </w:p>
    <w:p w14:paraId="5ED0A149" w14:textId="77777777" w:rsidR="00172FCF" w:rsidRPr="00C8471B" w:rsidRDefault="00172FCF" w:rsidP="00003FED">
      <w:pPr>
        <w:autoSpaceDE w:val="0"/>
        <w:autoSpaceDN w:val="0"/>
        <w:adjustRightInd w:val="0"/>
        <w:spacing w:after="0" w:line="240" w:lineRule="auto"/>
        <w:jc w:val="both"/>
        <w:rPr>
          <w:rFonts w:ascii="Times New Roman" w:hAnsi="Times New Roman"/>
          <w:b/>
          <w:bCs/>
          <w:lang w:val="ro-RO"/>
        </w:rPr>
      </w:pPr>
      <w:r w:rsidRPr="00C8471B">
        <w:rPr>
          <w:rFonts w:ascii="Times New Roman" w:hAnsi="Times New Roman"/>
          <w:b/>
          <w:bCs/>
          <w:lang w:val="ro-RO"/>
        </w:rPr>
        <w:t>NOTĂ:</w:t>
      </w:r>
    </w:p>
    <w:p w14:paraId="04C852E7" w14:textId="77777777" w:rsidR="00172FCF" w:rsidRPr="00C8471B" w:rsidRDefault="00172FCF" w:rsidP="00003FED">
      <w:pPr>
        <w:autoSpaceDE w:val="0"/>
        <w:autoSpaceDN w:val="0"/>
        <w:adjustRightInd w:val="0"/>
        <w:spacing w:after="0" w:line="240" w:lineRule="auto"/>
        <w:jc w:val="both"/>
        <w:rPr>
          <w:rFonts w:ascii="Times New Roman" w:hAnsi="Times New Roman"/>
          <w:b/>
          <w:bCs/>
          <w:lang w:val="ro-RO"/>
        </w:rPr>
      </w:pPr>
      <w:r w:rsidRPr="00C8471B">
        <w:rPr>
          <w:rFonts w:ascii="Times New Roman" w:hAnsi="Times New Roman"/>
          <w:b/>
          <w:bCs/>
          <w:lang w:val="ro-RO"/>
        </w:rPr>
        <w:t>Este obligatoriu ca documentaţia transmisă împreună cu CRF să conţină următoarele documente, absolut necesare realizării etapei de evaluare tehnico-financiară:</w:t>
      </w:r>
    </w:p>
    <w:p w14:paraId="1421122E"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devizul general, </w:t>
      </w:r>
    </w:p>
    <w:p w14:paraId="53C33345"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toate devizele pe obiect, </w:t>
      </w:r>
    </w:p>
    <w:p w14:paraId="0292BFA1"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listele de echipamente şi listele de cantităţi de lucrări pe baza cărora s-au întocmit devizele pe obiect, </w:t>
      </w:r>
    </w:p>
    <w:p w14:paraId="52CE23A2" w14:textId="59DA3334"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fişele de date exclusiv tehnice pentru echipamentele propuse de proiect, stabilite de elaboratorul SF şi creditate cu performanţa tehnică recomandată şi analizată in cadrul analizei financiare</w:t>
      </w:r>
      <w:r w:rsidR="00CD7D09">
        <w:rPr>
          <w:rFonts w:ascii="Times New Roman" w:hAnsi="Times New Roman"/>
          <w:lang w:val="ro-RO"/>
        </w:rPr>
        <w:t xml:space="preserve"> pentru </w:t>
      </w:r>
      <w:r w:rsidR="00CD7D09" w:rsidRPr="00ED3410">
        <w:rPr>
          <w:rFonts w:ascii="Times New Roman" w:hAnsi="Times New Roman"/>
          <w:lang w:val="ro-RO"/>
        </w:rPr>
        <w:t>scenarii</w:t>
      </w:r>
      <w:r w:rsidR="000F768D">
        <w:rPr>
          <w:rFonts w:ascii="Times New Roman" w:hAnsi="Times New Roman"/>
          <w:lang w:val="ro-RO"/>
        </w:rPr>
        <w:t>le</w:t>
      </w:r>
      <w:r w:rsidR="00CD7D09" w:rsidRPr="00ED3410">
        <w:rPr>
          <w:rFonts w:ascii="Times New Roman" w:hAnsi="Times New Roman"/>
          <w:lang w:val="ro-RO"/>
        </w:rPr>
        <w:t xml:space="preserve"> tehnico-economice </w:t>
      </w:r>
      <w:r w:rsidR="00CD7D09">
        <w:rPr>
          <w:rFonts w:ascii="Times New Roman" w:hAnsi="Times New Roman"/>
          <w:lang w:val="ro-RO"/>
        </w:rPr>
        <w:t>analizate</w:t>
      </w:r>
      <w:r w:rsidRPr="00C8471B">
        <w:rPr>
          <w:rFonts w:ascii="Times New Roman" w:hAnsi="Times New Roman"/>
          <w:lang w:val="ro-RO"/>
        </w:rPr>
        <w:t>. Fişele trebuie să conţină suficiente date tehnice pentru a se putea încadra echipamentele într-o categorie distinctă şi a se justifica preţul de achiziţie indiferent de origine,</w:t>
      </w:r>
    </w:p>
    <w:p w14:paraId="4AA46F05" w14:textId="71F7149E" w:rsidR="004E11F5" w:rsidRPr="00ED3410" w:rsidRDefault="004E11F5" w:rsidP="004E11F5">
      <w:pPr>
        <w:numPr>
          <w:ilvl w:val="0"/>
          <w:numId w:val="3"/>
        </w:numPr>
        <w:spacing w:after="0" w:line="240" w:lineRule="auto"/>
        <w:jc w:val="both"/>
        <w:rPr>
          <w:rFonts w:ascii="Times New Roman" w:hAnsi="Times New Roman"/>
          <w:lang w:val="ro-RO"/>
        </w:rPr>
      </w:pPr>
      <w:r w:rsidRPr="00ED3410">
        <w:rPr>
          <w:rFonts w:ascii="Times New Roman" w:hAnsi="Times New Roman"/>
          <w:lang w:val="ro-RO"/>
        </w:rPr>
        <w:t>schema electrică monofilară de principiu a aparaturii și instalației aferente sistemului de monitorizare a consumului de energie, propus prin proiect (se vor marca diferit echipamentele de masura existente si care raman in noul sistem de monitorizare, echipamentele de masura existente care au fost inlocuite cu echipamente mai performante si echipamentele nou incluse in sistem)</w:t>
      </w:r>
      <w:r w:rsidR="000F768D">
        <w:rPr>
          <w:rFonts w:ascii="Times New Roman" w:hAnsi="Times New Roman"/>
          <w:lang w:val="ro-RO"/>
        </w:rPr>
        <w:t>.</w:t>
      </w:r>
    </w:p>
    <w:p w14:paraId="2143EA69" w14:textId="77777777" w:rsidR="004E11F5" w:rsidRPr="000F768D" w:rsidRDefault="004E11F5" w:rsidP="00ED3410">
      <w:pPr>
        <w:spacing w:after="0" w:line="240" w:lineRule="auto"/>
        <w:ind w:left="1080"/>
        <w:jc w:val="both"/>
        <w:rPr>
          <w:rFonts w:ascii="Times New Roman" w:hAnsi="Times New Roman"/>
          <w:lang w:val="ro-RO"/>
        </w:rPr>
      </w:pPr>
    </w:p>
    <w:p w14:paraId="45847E95" w14:textId="77777777" w:rsidR="00172FCF" w:rsidRPr="00ED3410" w:rsidRDefault="00172FCF" w:rsidP="00003FED">
      <w:pPr>
        <w:spacing w:after="0" w:line="240" w:lineRule="auto"/>
        <w:jc w:val="both"/>
        <w:rPr>
          <w:rFonts w:ascii="Times New Roman" w:hAnsi="Times New Roman"/>
          <w:strike/>
          <w:lang w:val="ro-RO"/>
        </w:rPr>
      </w:pPr>
    </w:p>
    <w:p w14:paraId="06F8FC10" w14:textId="77777777" w:rsidR="00172FCF" w:rsidRPr="00C8471B" w:rsidRDefault="00172FCF" w:rsidP="00003FED">
      <w:pPr>
        <w:spacing w:after="0" w:line="240" w:lineRule="auto"/>
        <w:jc w:val="both"/>
        <w:rPr>
          <w:rFonts w:ascii="Times New Roman" w:hAnsi="Times New Roman"/>
          <w:b/>
          <w:bCs/>
          <w:lang w:val="ro-RO"/>
        </w:rPr>
      </w:pPr>
    </w:p>
    <w:p w14:paraId="18EAB4CD" w14:textId="77777777" w:rsidR="00172FCF" w:rsidRPr="00C8471B" w:rsidRDefault="00172FCF" w:rsidP="00003FED">
      <w:pPr>
        <w:pBdr>
          <w:top w:val="single" w:sz="4" w:space="1" w:color="auto"/>
          <w:left w:val="single" w:sz="4" w:space="4" w:color="auto"/>
          <w:bottom w:val="single" w:sz="4" w:space="1" w:color="auto"/>
          <w:right w:val="single" w:sz="4" w:space="4" w:color="auto"/>
        </w:pBdr>
        <w:jc w:val="both"/>
        <w:rPr>
          <w:rFonts w:ascii="Times New Roman" w:hAnsi="Times New Roman"/>
          <w:i/>
          <w:lang w:val="ro-RO"/>
        </w:rPr>
      </w:pPr>
      <w:r w:rsidRPr="00C8471B">
        <w:rPr>
          <w:rFonts w:ascii="Times New Roman" w:hAnsi="Times New Roman"/>
          <w:i/>
          <w:lang w:val="ro-RO"/>
        </w:rPr>
        <w:t xml:space="preserve">Este necesară justificarea bugetului proiectului (se </w:t>
      </w:r>
      <w:r w:rsidR="00CB6872" w:rsidRPr="00C8471B">
        <w:rPr>
          <w:rFonts w:ascii="Times New Roman" w:hAnsi="Times New Roman"/>
          <w:i/>
          <w:lang w:val="ro-RO"/>
        </w:rPr>
        <w:t>va</w:t>
      </w:r>
      <w:r w:rsidRPr="00C8471B">
        <w:rPr>
          <w:rFonts w:ascii="Times New Roman" w:hAnsi="Times New Roman"/>
          <w:i/>
          <w:lang w:val="ro-RO"/>
        </w:rPr>
        <w:t xml:space="preserve"> reali</w:t>
      </w:r>
      <w:r w:rsidR="00CB6872" w:rsidRPr="00C8471B">
        <w:rPr>
          <w:rFonts w:ascii="Times New Roman" w:hAnsi="Times New Roman"/>
          <w:i/>
          <w:lang w:val="ro-RO"/>
        </w:rPr>
        <w:t xml:space="preserve">za inclusiv prin anexarea la cererea de finanțare </w:t>
      </w:r>
      <w:r w:rsidRPr="00C8471B">
        <w:rPr>
          <w:rFonts w:ascii="Times New Roman" w:hAnsi="Times New Roman"/>
          <w:i/>
          <w:lang w:val="ro-RO"/>
        </w:rPr>
        <w:t>a unor oferte de preţ, preţuri de catalog etc. pentru echipamentele</w:t>
      </w:r>
      <w:r w:rsidR="00033D47" w:rsidRPr="00C8471B">
        <w:rPr>
          <w:rFonts w:ascii="Times New Roman" w:hAnsi="Times New Roman"/>
          <w:i/>
          <w:lang w:val="ro-RO"/>
        </w:rPr>
        <w:t>/instalațiile</w:t>
      </w:r>
      <w:r w:rsidRPr="00C8471B">
        <w:rPr>
          <w:rFonts w:ascii="Times New Roman" w:hAnsi="Times New Roman"/>
          <w:i/>
          <w:lang w:val="ro-RO"/>
        </w:rPr>
        <w:t xml:space="preserve"> ce se intenţionează a fi a achiziţionate în cadrul proiectului sau ale unora similare ca scop).</w:t>
      </w:r>
    </w:p>
    <w:sectPr w:rsidR="00172FCF" w:rsidRPr="00C8471B" w:rsidSect="00F22EE4">
      <w:headerReference w:type="even" r:id="rId13"/>
      <w:headerReference w:type="default" r:id="rId14"/>
      <w:footerReference w:type="even" r:id="rId15"/>
      <w:footerReference w:type="default" r:id="rId16"/>
      <w:headerReference w:type="first" r:id="rId17"/>
      <w:footerReference w:type="first" r:id="rId18"/>
      <w:pgSz w:w="12240" w:h="15840"/>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243F6" w14:textId="77777777" w:rsidR="00F73E0B" w:rsidRDefault="00F73E0B" w:rsidP="00FC4862">
      <w:pPr>
        <w:spacing w:after="0" w:line="240" w:lineRule="auto"/>
      </w:pPr>
      <w:r>
        <w:separator/>
      </w:r>
    </w:p>
  </w:endnote>
  <w:endnote w:type="continuationSeparator" w:id="0">
    <w:p w14:paraId="20DF1412" w14:textId="77777777" w:rsidR="00F73E0B" w:rsidRDefault="00F73E0B" w:rsidP="00FC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556CA" w14:textId="77777777" w:rsidR="00A52590" w:rsidRDefault="00A525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8356765"/>
      <w:docPartObj>
        <w:docPartGallery w:val="Page Numbers (Bottom of Page)"/>
        <w:docPartUnique/>
      </w:docPartObj>
    </w:sdtPr>
    <w:sdtEndPr>
      <w:rPr>
        <w:noProof/>
      </w:rPr>
    </w:sdtEndPr>
    <w:sdtContent>
      <w:p w14:paraId="2E2C7327" w14:textId="77777777" w:rsidR="00CB6872" w:rsidRDefault="00CB6872">
        <w:pPr>
          <w:pStyle w:val="Footer"/>
          <w:jc w:val="right"/>
        </w:pPr>
        <w:r>
          <w:fldChar w:fldCharType="begin"/>
        </w:r>
        <w:r>
          <w:instrText xml:space="preserve"> PAGE   \* MERGEFORMAT </w:instrText>
        </w:r>
        <w:r>
          <w:fldChar w:fldCharType="separate"/>
        </w:r>
        <w:r w:rsidR="00501328">
          <w:rPr>
            <w:noProof/>
          </w:rPr>
          <w:t>1</w:t>
        </w:r>
        <w:r>
          <w:rPr>
            <w:noProof/>
          </w:rPr>
          <w:fldChar w:fldCharType="end"/>
        </w:r>
      </w:p>
    </w:sdtContent>
  </w:sdt>
  <w:p w14:paraId="7A4A7855" w14:textId="77777777" w:rsidR="00CB6872" w:rsidRDefault="00CB68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F5751" w14:textId="77777777" w:rsidR="00A52590" w:rsidRDefault="00A525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94E7C" w14:textId="77777777" w:rsidR="00F73E0B" w:rsidRDefault="00F73E0B" w:rsidP="00FC4862">
      <w:pPr>
        <w:spacing w:after="0" w:line="240" w:lineRule="auto"/>
      </w:pPr>
      <w:r>
        <w:separator/>
      </w:r>
    </w:p>
  </w:footnote>
  <w:footnote w:type="continuationSeparator" w:id="0">
    <w:p w14:paraId="0DDAF49F" w14:textId="77777777" w:rsidR="00F73E0B" w:rsidRDefault="00F73E0B" w:rsidP="00FC4862">
      <w:pPr>
        <w:spacing w:after="0" w:line="240" w:lineRule="auto"/>
      </w:pPr>
      <w:r>
        <w:continuationSeparator/>
      </w:r>
    </w:p>
  </w:footnote>
  <w:footnote w:id="1">
    <w:p w14:paraId="53F4A1B1" w14:textId="77777777" w:rsidR="00875D13" w:rsidRPr="008300ED" w:rsidRDefault="00875D13" w:rsidP="00875D13">
      <w:pPr>
        <w:pStyle w:val="BodyText"/>
        <w:spacing w:line="210" w:lineRule="exact"/>
        <w:ind w:right="625"/>
        <w:jc w:val="both"/>
        <w:rPr>
          <w:sz w:val="18"/>
          <w:szCs w:val="18"/>
          <w:lang w:val="ro-RO"/>
        </w:rPr>
      </w:pPr>
      <w:r>
        <w:rPr>
          <w:rStyle w:val="FootnoteReference"/>
        </w:rPr>
        <w:footnoteRef/>
      </w:r>
      <w:r>
        <w:t xml:space="preserve"> </w:t>
      </w:r>
      <w:r w:rsidRPr="008300ED">
        <w:rPr>
          <w:sz w:val="18"/>
          <w:szCs w:val="18"/>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8300ED">
        <w:rPr>
          <w:w w:val="90"/>
          <w:sz w:val="18"/>
          <w:szCs w:val="18"/>
          <w:lang w:val="ro-RO"/>
        </w:rPr>
        <w:t xml:space="preserve">veniturilor  preconizate. </w:t>
      </w:r>
    </w:p>
    <w:p w14:paraId="6AEBE5D4" w14:textId="77777777" w:rsidR="00875D13" w:rsidRPr="008300ED" w:rsidRDefault="00875D13" w:rsidP="00875D13">
      <w:pPr>
        <w:pStyle w:val="FootnoteText"/>
        <w:rPr>
          <w:rFonts w:asciiTheme="minorHAnsi" w:hAnsiTheme="minorHAnsi"/>
          <w:sz w:val="18"/>
          <w:szCs w:val="18"/>
          <w:lang w:val="ro-RO"/>
        </w:rPr>
      </w:pPr>
      <w:r w:rsidRPr="008300ED">
        <w:rPr>
          <w:rFonts w:ascii="Times New Roman" w:hAnsi="Times New Roman"/>
          <w:w w:val="95"/>
          <w:sz w:val="18"/>
          <w:szCs w:val="18"/>
          <w:lang w:val="ro-RO"/>
        </w:rPr>
        <w:t>Rata de rentabilitate financiară (RRF) este rata de actualizare care determină o VANF egală cu zero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19266" w14:textId="77777777" w:rsidR="00A52590" w:rsidRDefault="00A525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6E37" w14:textId="54EFD18C" w:rsidR="00E82B95" w:rsidRPr="00DB1C54" w:rsidRDefault="00E82B95" w:rsidP="00E82B95">
    <w:pPr>
      <w:pStyle w:val="Header"/>
      <w:rPr>
        <w:rFonts w:ascii="Times New Roman" w:hAnsi="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sidR="003022B3">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sz w:val="18"/>
        <w:szCs w:val="18"/>
      </w:rPr>
      <w:t xml:space="preserve">Anexa </w:t>
    </w:r>
    <w:r>
      <w:rPr>
        <w:rFonts w:ascii="Times New Roman" w:hAnsi="Times New Roman"/>
        <w:sz w:val="18"/>
        <w:szCs w:val="18"/>
      </w:rPr>
      <w:t>8</w:t>
    </w:r>
    <w:r w:rsidRPr="00DB1C54">
      <w:rPr>
        <w:rFonts w:ascii="Times New Roman" w:hAnsi="Times New Roman"/>
        <w:sz w:val="18"/>
        <w:szCs w:val="18"/>
      </w:rPr>
      <w:t xml:space="preserve">. </w:t>
    </w:r>
    <w:r>
      <w:rPr>
        <w:rFonts w:ascii="Times New Roman" w:hAnsi="Times New Roman"/>
        <w:sz w:val="18"/>
        <w:szCs w:val="18"/>
      </w:rPr>
      <w:t>Model pentru elaborarea studiului de fezabilitate</w:t>
    </w:r>
    <w:r w:rsidR="003022B3">
      <w:rPr>
        <w:rFonts w:ascii="Times New Roman" w:hAnsi="Times New Roman"/>
        <w:sz w:val="18"/>
        <w:szCs w:val="18"/>
      </w:rPr>
      <w:t xml:space="preserve"> OS 6.2./</w:t>
    </w:r>
    <w:bookmarkStart w:id="2" w:name="_GoBack"/>
    <w:bookmarkEnd w:id="2"/>
    <w:r w:rsidR="003022B3">
      <w:rPr>
        <w:rFonts w:ascii="Times New Roman" w:hAnsi="Times New Roman"/>
        <w:sz w:val="18"/>
        <w:szCs w:val="18"/>
      </w:rPr>
      <w:t xml:space="preserve"> REACT-EU</w:t>
    </w:r>
  </w:p>
  <w:p w14:paraId="46D1F8FD" w14:textId="77777777" w:rsidR="00E82B95" w:rsidRDefault="00E82B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C0E90" w14:textId="77777777" w:rsidR="00A52590" w:rsidRDefault="00A525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1979"/>
    <w:multiLevelType w:val="hybridMultilevel"/>
    <w:tmpl w:val="F612CBB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448C8"/>
    <w:multiLevelType w:val="hybridMultilevel"/>
    <w:tmpl w:val="13F0461C"/>
    <w:lvl w:ilvl="0" w:tplc="23BA00EE">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4">
    <w:nsid w:val="1B026084"/>
    <w:multiLevelType w:val="hybridMultilevel"/>
    <w:tmpl w:val="4EC4179A"/>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AA76E5"/>
    <w:multiLevelType w:val="hybridMultilevel"/>
    <w:tmpl w:val="02F4CD50"/>
    <w:lvl w:ilvl="0" w:tplc="8BCA538A">
      <w:start w:val="1"/>
      <w:numFmt w:val="lowerLetter"/>
      <w:lvlText w:val="%1)"/>
      <w:lvlJc w:val="left"/>
      <w:pPr>
        <w:ind w:left="622" w:hanging="360"/>
      </w:pPr>
      <w:rPr>
        <w:rFonts w:hint="default"/>
      </w:rPr>
    </w:lvl>
    <w:lvl w:ilvl="1" w:tplc="237CD480">
      <w:start w:val="4"/>
      <w:numFmt w:val="bullet"/>
      <w:lvlText w:val="-"/>
      <w:lvlJc w:val="left"/>
      <w:pPr>
        <w:ind w:left="1342" w:hanging="360"/>
      </w:pPr>
      <w:rPr>
        <w:rFonts w:ascii="Times New Roman" w:eastAsia="Times New Roman" w:hAnsi="Times New Roman" w:cs="Times New Roman" w:hint="default"/>
      </w:r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6">
    <w:nsid w:val="27A63EF8"/>
    <w:multiLevelType w:val="hybridMultilevel"/>
    <w:tmpl w:val="F0C2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AA1307"/>
    <w:multiLevelType w:val="hybridMultilevel"/>
    <w:tmpl w:val="327E5D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04911B2"/>
    <w:multiLevelType w:val="hybridMultilevel"/>
    <w:tmpl w:val="0ABC3A30"/>
    <w:lvl w:ilvl="0" w:tplc="8BCA538A">
      <w:start w:val="1"/>
      <w:numFmt w:val="lowerLetter"/>
      <w:lvlText w:val="%1)"/>
      <w:lvlJc w:val="left"/>
      <w:pPr>
        <w:ind w:left="6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C2D4C0C"/>
    <w:multiLevelType w:val="hybridMultilevel"/>
    <w:tmpl w:val="B5923B2A"/>
    <w:lvl w:ilvl="0" w:tplc="04090017">
      <w:start w:val="1"/>
      <w:numFmt w:val="lowerLetter"/>
      <w:lvlText w:val="%1)"/>
      <w:lvlJc w:val="left"/>
      <w:pPr>
        <w:ind w:left="720" w:hanging="360"/>
      </w:pPr>
    </w:lvl>
    <w:lvl w:ilvl="1" w:tplc="000ADB4E">
      <w:start w:val="1"/>
      <w:numFmt w:val="decimal"/>
      <w:lvlText w:val="%2."/>
      <w:lvlJc w:val="left"/>
      <w:pPr>
        <w:ind w:left="1440" w:hanging="360"/>
      </w:pPr>
      <w:rPr>
        <w:rFonts w:hint="default"/>
      </w:rPr>
    </w:lvl>
    <w:lvl w:ilvl="2" w:tplc="051C7524">
      <w:start w:val="2"/>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55685E"/>
    <w:multiLevelType w:val="hybridMultilevel"/>
    <w:tmpl w:val="67BE4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40D3010"/>
    <w:multiLevelType w:val="hybridMultilevel"/>
    <w:tmpl w:val="47D2CB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4E4137"/>
    <w:multiLevelType w:val="hybridMultilevel"/>
    <w:tmpl w:val="48B827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71415"/>
    <w:multiLevelType w:val="hybridMultilevel"/>
    <w:tmpl w:val="3FB0BA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7D4623"/>
    <w:multiLevelType w:val="hybridMultilevel"/>
    <w:tmpl w:val="45B46BD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63395BB1"/>
    <w:multiLevelType w:val="hybridMultilevel"/>
    <w:tmpl w:val="C65E95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DB67AAD"/>
    <w:multiLevelType w:val="hybridMultilevel"/>
    <w:tmpl w:val="A9B04AA4"/>
    <w:lvl w:ilvl="0" w:tplc="0418000F">
      <w:start w:val="3"/>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7F761F9D"/>
    <w:multiLevelType w:val="hybridMultilevel"/>
    <w:tmpl w:val="008661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2"/>
  </w:num>
  <w:num w:numId="4">
    <w:abstractNumId w:val="0"/>
  </w:num>
  <w:num w:numId="5">
    <w:abstractNumId w:val="17"/>
  </w:num>
  <w:num w:numId="6">
    <w:abstractNumId w:val="9"/>
  </w:num>
  <w:num w:numId="7">
    <w:abstractNumId w:val="19"/>
  </w:num>
  <w:num w:numId="8">
    <w:abstractNumId w:val="11"/>
  </w:num>
  <w:num w:numId="9">
    <w:abstractNumId w:val="12"/>
  </w:num>
  <w:num w:numId="10">
    <w:abstractNumId w:val="10"/>
  </w:num>
  <w:num w:numId="11">
    <w:abstractNumId w:val="15"/>
  </w:num>
  <w:num w:numId="12">
    <w:abstractNumId w:val="20"/>
  </w:num>
  <w:num w:numId="13">
    <w:abstractNumId w:val="5"/>
  </w:num>
  <w:num w:numId="14">
    <w:abstractNumId w:val="8"/>
  </w:num>
  <w:num w:numId="15">
    <w:abstractNumId w:val="16"/>
  </w:num>
  <w:num w:numId="16">
    <w:abstractNumId w:val="1"/>
  </w:num>
  <w:num w:numId="17">
    <w:abstractNumId w:val="6"/>
  </w:num>
  <w:num w:numId="18">
    <w:abstractNumId w:val="3"/>
  </w:num>
  <w:num w:numId="19">
    <w:abstractNumId w:val="13"/>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AB"/>
    <w:rsid w:val="00002521"/>
    <w:rsid w:val="00003FED"/>
    <w:rsid w:val="00010ADD"/>
    <w:rsid w:val="00030ACE"/>
    <w:rsid w:val="00033D47"/>
    <w:rsid w:val="00043120"/>
    <w:rsid w:val="00044D8E"/>
    <w:rsid w:val="000522AB"/>
    <w:rsid w:val="00052BBB"/>
    <w:rsid w:val="00055DD2"/>
    <w:rsid w:val="000564E0"/>
    <w:rsid w:val="00063A07"/>
    <w:rsid w:val="00070B83"/>
    <w:rsid w:val="00081BF5"/>
    <w:rsid w:val="000858B4"/>
    <w:rsid w:val="00090E32"/>
    <w:rsid w:val="000A4869"/>
    <w:rsid w:val="000A6CCD"/>
    <w:rsid w:val="000B439C"/>
    <w:rsid w:val="000F2EC0"/>
    <w:rsid w:val="000F768D"/>
    <w:rsid w:val="00115153"/>
    <w:rsid w:val="00124065"/>
    <w:rsid w:val="00135710"/>
    <w:rsid w:val="00136011"/>
    <w:rsid w:val="0015326D"/>
    <w:rsid w:val="00172FCF"/>
    <w:rsid w:val="0018315F"/>
    <w:rsid w:val="00192218"/>
    <w:rsid w:val="001A63E6"/>
    <w:rsid w:val="001C66D0"/>
    <w:rsid w:val="0020128C"/>
    <w:rsid w:val="00204718"/>
    <w:rsid w:val="00215F78"/>
    <w:rsid w:val="00217F1C"/>
    <w:rsid w:val="00221DE0"/>
    <w:rsid w:val="00222B3A"/>
    <w:rsid w:val="00227164"/>
    <w:rsid w:val="002418A3"/>
    <w:rsid w:val="002465FC"/>
    <w:rsid w:val="00252B98"/>
    <w:rsid w:val="00265CE7"/>
    <w:rsid w:val="00293B4A"/>
    <w:rsid w:val="002A02C3"/>
    <w:rsid w:val="002A1192"/>
    <w:rsid w:val="002A1CB5"/>
    <w:rsid w:val="002A43BC"/>
    <w:rsid w:val="002B0820"/>
    <w:rsid w:val="002B6586"/>
    <w:rsid w:val="002B6C30"/>
    <w:rsid w:val="002E68BF"/>
    <w:rsid w:val="003022B3"/>
    <w:rsid w:val="0030315A"/>
    <w:rsid w:val="0034493E"/>
    <w:rsid w:val="003501C4"/>
    <w:rsid w:val="0035504B"/>
    <w:rsid w:val="00355FFA"/>
    <w:rsid w:val="0037113D"/>
    <w:rsid w:val="003A2BCA"/>
    <w:rsid w:val="003C4CA4"/>
    <w:rsid w:val="003D5F0B"/>
    <w:rsid w:val="003E5E07"/>
    <w:rsid w:val="00405785"/>
    <w:rsid w:val="0042060D"/>
    <w:rsid w:val="00430BFD"/>
    <w:rsid w:val="00433A99"/>
    <w:rsid w:val="00460631"/>
    <w:rsid w:val="004866AF"/>
    <w:rsid w:val="004C1DC7"/>
    <w:rsid w:val="004C725E"/>
    <w:rsid w:val="004E11F5"/>
    <w:rsid w:val="004E4C2C"/>
    <w:rsid w:val="00501328"/>
    <w:rsid w:val="0052431E"/>
    <w:rsid w:val="0053521B"/>
    <w:rsid w:val="0053578B"/>
    <w:rsid w:val="00537601"/>
    <w:rsid w:val="00540E03"/>
    <w:rsid w:val="00546A5A"/>
    <w:rsid w:val="00580742"/>
    <w:rsid w:val="005924E8"/>
    <w:rsid w:val="005A36BC"/>
    <w:rsid w:val="005D3144"/>
    <w:rsid w:val="005E0150"/>
    <w:rsid w:val="005F4B91"/>
    <w:rsid w:val="0064349C"/>
    <w:rsid w:val="00651CD2"/>
    <w:rsid w:val="00687B93"/>
    <w:rsid w:val="00690542"/>
    <w:rsid w:val="00693439"/>
    <w:rsid w:val="006A5CB4"/>
    <w:rsid w:val="006C2972"/>
    <w:rsid w:val="006C7CA4"/>
    <w:rsid w:val="006E1540"/>
    <w:rsid w:val="006E3876"/>
    <w:rsid w:val="00730369"/>
    <w:rsid w:val="00774842"/>
    <w:rsid w:val="00781715"/>
    <w:rsid w:val="007A4200"/>
    <w:rsid w:val="007A721E"/>
    <w:rsid w:val="007B52BC"/>
    <w:rsid w:val="007B6A99"/>
    <w:rsid w:val="007C1C17"/>
    <w:rsid w:val="007C1C38"/>
    <w:rsid w:val="007C4F04"/>
    <w:rsid w:val="007C68C2"/>
    <w:rsid w:val="007C7255"/>
    <w:rsid w:val="007C74AD"/>
    <w:rsid w:val="007F2092"/>
    <w:rsid w:val="008072B0"/>
    <w:rsid w:val="00816FC0"/>
    <w:rsid w:val="00830738"/>
    <w:rsid w:val="00875D13"/>
    <w:rsid w:val="00887A5B"/>
    <w:rsid w:val="008901CA"/>
    <w:rsid w:val="008C45DF"/>
    <w:rsid w:val="008C5FB7"/>
    <w:rsid w:val="008D0659"/>
    <w:rsid w:val="008D2DBD"/>
    <w:rsid w:val="008E26BE"/>
    <w:rsid w:val="008E2C09"/>
    <w:rsid w:val="008F2517"/>
    <w:rsid w:val="00915189"/>
    <w:rsid w:val="00987393"/>
    <w:rsid w:val="009A4A73"/>
    <w:rsid w:val="009C6EE5"/>
    <w:rsid w:val="009D2907"/>
    <w:rsid w:val="009E2F19"/>
    <w:rsid w:val="00A03E32"/>
    <w:rsid w:val="00A10E52"/>
    <w:rsid w:val="00A13F46"/>
    <w:rsid w:val="00A21AFA"/>
    <w:rsid w:val="00A24191"/>
    <w:rsid w:val="00A52590"/>
    <w:rsid w:val="00A6091F"/>
    <w:rsid w:val="00A623C8"/>
    <w:rsid w:val="00A776B1"/>
    <w:rsid w:val="00A83F13"/>
    <w:rsid w:val="00A87B40"/>
    <w:rsid w:val="00AA2DCE"/>
    <w:rsid w:val="00AA6C3D"/>
    <w:rsid w:val="00AD7CA8"/>
    <w:rsid w:val="00AE60D8"/>
    <w:rsid w:val="00B31634"/>
    <w:rsid w:val="00B4479F"/>
    <w:rsid w:val="00B54E51"/>
    <w:rsid w:val="00B60C56"/>
    <w:rsid w:val="00BA0B77"/>
    <w:rsid w:val="00BC5228"/>
    <w:rsid w:val="00BD2C4E"/>
    <w:rsid w:val="00BD407B"/>
    <w:rsid w:val="00BE5B68"/>
    <w:rsid w:val="00C01B67"/>
    <w:rsid w:val="00C06990"/>
    <w:rsid w:val="00C170E8"/>
    <w:rsid w:val="00C31BA3"/>
    <w:rsid w:val="00C73C74"/>
    <w:rsid w:val="00C8471B"/>
    <w:rsid w:val="00C870AE"/>
    <w:rsid w:val="00CA6708"/>
    <w:rsid w:val="00CB1379"/>
    <w:rsid w:val="00CB6872"/>
    <w:rsid w:val="00CB6B58"/>
    <w:rsid w:val="00CC4826"/>
    <w:rsid w:val="00CD7D09"/>
    <w:rsid w:val="00D06A7C"/>
    <w:rsid w:val="00D15095"/>
    <w:rsid w:val="00D52039"/>
    <w:rsid w:val="00D61532"/>
    <w:rsid w:val="00D61C9E"/>
    <w:rsid w:val="00D70452"/>
    <w:rsid w:val="00D750E8"/>
    <w:rsid w:val="00D76503"/>
    <w:rsid w:val="00D86444"/>
    <w:rsid w:val="00D912B4"/>
    <w:rsid w:val="00D94072"/>
    <w:rsid w:val="00D957A4"/>
    <w:rsid w:val="00DA4B15"/>
    <w:rsid w:val="00DA5B6F"/>
    <w:rsid w:val="00DC2CFC"/>
    <w:rsid w:val="00DC52DB"/>
    <w:rsid w:val="00DD4C9E"/>
    <w:rsid w:val="00DE7425"/>
    <w:rsid w:val="00DF7D73"/>
    <w:rsid w:val="00E0337E"/>
    <w:rsid w:val="00E32556"/>
    <w:rsid w:val="00E32B9F"/>
    <w:rsid w:val="00E3453D"/>
    <w:rsid w:val="00E407B5"/>
    <w:rsid w:val="00E55B7A"/>
    <w:rsid w:val="00E628DB"/>
    <w:rsid w:val="00E82B95"/>
    <w:rsid w:val="00E9299A"/>
    <w:rsid w:val="00E92C38"/>
    <w:rsid w:val="00EC113E"/>
    <w:rsid w:val="00ED3410"/>
    <w:rsid w:val="00F22637"/>
    <w:rsid w:val="00F22EE4"/>
    <w:rsid w:val="00F33760"/>
    <w:rsid w:val="00F50B35"/>
    <w:rsid w:val="00F50E7B"/>
    <w:rsid w:val="00F614C6"/>
    <w:rsid w:val="00F71747"/>
    <w:rsid w:val="00F73E0B"/>
    <w:rsid w:val="00F740A0"/>
    <w:rsid w:val="00F83D48"/>
    <w:rsid w:val="00F942A0"/>
    <w:rsid w:val="00F953B5"/>
    <w:rsid w:val="00FB1024"/>
    <w:rsid w:val="00FC2F0E"/>
    <w:rsid w:val="00FC4862"/>
    <w:rsid w:val="00FC5B14"/>
    <w:rsid w:val="00FF5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B7F7D5"/>
  <w15:docId w15:val="{F9A89DD6-BC12-494F-B79B-F87B67912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2AB"/>
    <w:pPr>
      <w:spacing w:after="160" w:line="259" w:lineRule="auto"/>
    </w:pPr>
    <w:rPr>
      <w:rFonts w:eastAsia="Times New Roman"/>
      <w:sz w:val="22"/>
      <w:szCs w:val="22"/>
    </w:rPr>
  </w:style>
  <w:style w:type="paragraph" w:styleId="Heading1">
    <w:name w:val="heading 1"/>
    <w:basedOn w:val="Normal"/>
    <w:next w:val="Normal"/>
    <w:link w:val="Heading1Char"/>
    <w:uiPriority w:val="99"/>
    <w:qFormat/>
    <w:rsid w:val="000522AB"/>
    <w:pPr>
      <w:keepNext/>
      <w:keepLines/>
      <w:spacing w:before="400" w:after="40" w:line="240" w:lineRule="auto"/>
      <w:outlineLvl w:val="0"/>
    </w:pPr>
    <w:rPr>
      <w:rFonts w:ascii="Calibri Light" w:hAnsi="Calibri Light"/>
      <w:caps/>
      <w:sz w:val="36"/>
      <w:szCs w:val="36"/>
    </w:rPr>
  </w:style>
  <w:style w:type="paragraph" w:styleId="Heading2">
    <w:name w:val="heading 2"/>
    <w:aliases w:val="Heading 2 Char1,Heading 2 Char Char"/>
    <w:basedOn w:val="Normal"/>
    <w:next w:val="Normal"/>
    <w:link w:val="Heading2Char"/>
    <w:uiPriority w:val="99"/>
    <w:qFormat/>
    <w:rsid w:val="000522AB"/>
    <w:pPr>
      <w:keepNext/>
      <w:keepLines/>
      <w:spacing w:before="120" w:after="0" w:line="240" w:lineRule="auto"/>
      <w:outlineLvl w:val="1"/>
    </w:pPr>
    <w:rPr>
      <w:rFonts w:ascii="Calibri Light" w:hAnsi="Calibri Light"/>
      <w: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522AB"/>
    <w:rPr>
      <w:rFonts w:ascii="Calibri Light" w:hAnsi="Calibri Light" w:cs="Times New Roman"/>
      <w:caps/>
      <w:sz w:val="36"/>
      <w:szCs w:val="36"/>
    </w:rPr>
  </w:style>
  <w:style w:type="character" w:customStyle="1" w:styleId="Heading2Char">
    <w:name w:val="Heading 2 Char"/>
    <w:aliases w:val="Heading 2 Char1 Char,Heading 2 Char Char Char"/>
    <w:link w:val="Heading2"/>
    <w:uiPriority w:val="99"/>
    <w:locked/>
    <w:rsid w:val="000522AB"/>
    <w:rPr>
      <w:rFonts w:ascii="Calibri Light" w:hAnsi="Calibri Light" w:cs="Times New Roman"/>
      <w:caps/>
      <w:sz w:val="28"/>
      <w:szCs w:val="28"/>
    </w:rPr>
  </w:style>
  <w:style w:type="character" w:styleId="CommentReference">
    <w:name w:val="annotation reference"/>
    <w:uiPriority w:val="99"/>
    <w:rsid w:val="000522AB"/>
    <w:rPr>
      <w:rFonts w:cs="Times New Roman"/>
      <w:sz w:val="16"/>
      <w:szCs w:val="16"/>
    </w:rPr>
  </w:style>
  <w:style w:type="paragraph" w:styleId="CommentText">
    <w:name w:val="annotation text"/>
    <w:basedOn w:val="Normal"/>
    <w:link w:val="CommentTextChar"/>
    <w:uiPriority w:val="99"/>
    <w:rsid w:val="000522AB"/>
    <w:pPr>
      <w:spacing w:line="240" w:lineRule="auto"/>
    </w:pPr>
    <w:rPr>
      <w:sz w:val="20"/>
      <w:szCs w:val="20"/>
    </w:rPr>
  </w:style>
  <w:style w:type="character" w:customStyle="1" w:styleId="CommentTextChar">
    <w:name w:val="Comment Text Char"/>
    <w:link w:val="CommentText"/>
    <w:uiPriority w:val="99"/>
    <w:locked/>
    <w:rsid w:val="000522AB"/>
    <w:rPr>
      <w:rFonts w:eastAsia="Times New Roman" w:cs="Times New Roman"/>
      <w:sz w:val="20"/>
      <w:szCs w:val="20"/>
    </w:rPr>
  </w:style>
  <w:style w:type="character" w:customStyle="1" w:styleId="sttpar1">
    <w:name w:val="st_tpar1"/>
    <w:rsid w:val="000522AB"/>
    <w:rPr>
      <w:color w:val="000000"/>
    </w:rPr>
  </w:style>
  <w:style w:type="character" w:customStyle="1" w:styleId="stpar">
    <w:name w:val="st_par"/>
    <w:uiPriority w:val="99"/>
    <w:rsid w:val="000522AB"/>
    <w:rPr>
      <w:rFonts w:cs="Times New Roman"/>
    </w:rPr>
  </w:style>
  <w:style w:type="character" w:customStyle="1" w:styleId="stlinie1">
    <w:name w:val="st_linie1"/>
    <w:uiPriority w:val="99"/>
    <w:rsid w:val="000522AB"/>
    <w:rPr>
      <w:b/>
      <w:color w:val="008F00"/>
    </w:rPr>
  </w:style>
  <w:style w:type="character" w:customStyle="1" w:styleId="sttlinie1">
    <w:name w:val="st_tlinie1"/>
    <w:uiPriority w:val="99"/>
    <w:rsid w:val="000522AB"/>
    <w:rPr>
      <w:color w:val="000000"/>
    </w:rPr>
  </w:style>
  <w:style w:type="character" w:customStyle="1" w:styleId="sttnota1">
    <w:name w:val="st_tnota1"/>
    <w:uiPriority w:val="99"/>
    <w:rsid w:val="000522AB"/>
    <w:rPr>
      <w:rFonts w:ascii="Verdana" w:hAnsi="Verdana"/>
      <w:color w:val="000000"/>
    </w:rPr>
  </w:style>
  <w:style w:type="character" w:customStyle="1" w:styleId="ln2acttitlu1">
    <w:name w:val="ln2acttitlu1"/>
    <w:uiPriority w:val="99"/>
    <w:rsid w:val="000522AB"/>
    <w:rPr>
      <w:color w:val="000010"/>
      <w:sz w:val="18"/>
    </w:rPr>
  </w:style>
  <w:style w:type="paragraph" w:styleId="BalloonText">
    <w:name w:val="Balloon Text"/>
    <w:basedOn w:val="Normal"/>
    <w:link w:val="BalloonTextChar"/>
    <w:uiPriority w:val="99"/>
    <w:semiHidden/>
    <w:rsid w:val="000522A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0522AB"/>
    <w:rPr>
      <w:rFonts w:ascii="Segoe UI" w:hAnsi="Segoe UI" w:cs="Segoe UI"/>
      <w:sz w:val="18"/>
      <w:szCs w:val="18"/>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iPriority w:val="99"/>
    <w:rsid w:val="00FC48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link w:val="FootnoteText"/>
    <w:uiPriority w:val="99"/>
    <w:locked/>
    <w:rsid w:val="00FC4862"/>
    <w:rPr>
      <w:rFonts w:eastAsia="Times New Roman"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qFormat/>
    <w:rsid w:val="00FC4862"/>
    <w:rPr>
      <w:rFonts w:cs="Times New Roman"/>
      <w:vertAlign w:val="superscript"/>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34493E"/>
    <w:pPr>
      <w:ind w:left="720"/>
      <w:contextualSpacing/>
    </w:pPr>
  </w:style>
  <w:style w:type="paragraph" w:customStyle="1" w:styleId="instruct">
    <w:name w:val="instruct"/>
    <w:basedOn w:val="Normal"/>
    <w:uiPriority w:val="99"/>
    <w:rsid w:val="002B6C30"/>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styleId="CommentSubject">
    <w:name w:val="annotation subject"/>
    <w:basedOn w:val="CommentText"/>
    <w:next w:val="CommentText"/>
    <w:link w:val="CommentSubjectChar"/>
    <w:uiPriority w:val="99"/>
    <w:semiHidden/>
    <w:rsid w:val="00A13F46"/>
    <w:rPr>
      <w:b/>
      <w:bCs/>
    </w:rPr>
  </w:style>
  <w:style w:type="character" w:customStyle="1" w:styleId="CommentSubjectChar">
    <w:name w:val="Comment Subject Char"/>
    <w:link w:val="CommentSubject"/>
    <w:uiPriority w:val="99"/>
    <w:semiHidden/>
    <w:locked/>
    <w:rsid w:val="00A13F46"/>
    <w:rPr>
      <w:rFonts w:eastAsia="Times New Roman" w:cs="Times New Roman"/>
      <w:b/>
      <w:bCs/>
      <w:sz w:val="20"/>
      <w:szCs w:val="20"/>
    </w:rPr>
  </w:style>
  <w:style w:type="paragraph" w:styleId="NormalWeb">
    <w:name w:val="Normal (Web)"/>
    <w:basedOn w:val="Normal"/>
    <w:uiPriority w:val="99"/>
    <w:semiHidden/>
    <w:unhideWhenUsed/>
    <w:rsid w:val="005A36BC"/>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locked/>
    <w:rsid w:val="005A36BC"/>
    <w:rPr>
      <w:i/>
      <w:iCs/>
    </w:rPr>
  </w:style>
  <w:style w:type="character" w:customStyle="1" w:styleId="apple-converted-space">
    <w:name w:val="apple-converted-space"/>
    <w:rsid w:val="005A36BC"/>
  </w:style>
  <w:style w:type="paragraph" w:styleId="Header">
    <w:name w:val="header"/>
    <w:basedOn w:val="Normal"/>
    <w:link w:val="HeaderChar"/>
    <w:uiPriority w:val="99"/>
    <w:unhideWhenUsed/>
    <w:rsid w:val="00E82B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95"/>
    <w:rPr>
      <w:rFonts w:eastAsia="Times New Roman"/>
      <w:sz w:val="22"/>
      <w:szCs w:val="22"/>
    </w:rPr>
  </w:style>
  <w:style w:type="paragraph" w:styleId="Footer">
    <w:name w:val="footer"/>
    <w:basedOn w:val="Normal"/>
    <w:link w:val="FooterChar"/>
    <w:uiPriority w:val="99"/>
    <w:unhideWhenUsed/>
    <w:rsid w:val="00E82B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95"/>
    <w:rPr>
      <w:rFonts w:eastAsia="Times New Roman"/>
      <w:sz w:val="22"/>
      <w:szCs w:val="22"/>
    </w:rPr>
  </w:style>
  <w:style w:type="paragraph" w:customStyle="1" w:styleId="Normal1">
    <w:name w:val="Normal1"/>
    <w:basedOn w:val="Normal"/>
    <w:rsid w:val="00D86444"/>
    <w:pPr>
      <w:spacing w:before="100" w:beforeAutospacing="1" w:after="100" w:afterAutospacing="1" w:line="240" w:lineRule="auto"/>
    </w:pPr>
    <w:rPr>
      <w:rFonts w:ascii="Times New Roman" w:hAnsi="Times New Roman"/>
      <w:sz w:val="24"/>
      <w:szCs w:val="24"/>
    </w:rPr>
  </w:style>
  <w:style w:type="paragraph" w:styleId="BodyText">
    <w:name w:val="Body Text"/>
    <w:aliases w:val="block style,Body,b,Standard paragraph"/>
    <w:basedOn w:val="Normal"/>
    <w:link w:val="BodyTextChar"/>
    <w:unhideWhenUsed/>
    <w:rsid w:val="00875D13"/>
    <w:pPr>
      <w:suppressAutoHyphens/>
      <w:spacing w:after="120" w:line="240" w:lineRule="auto"/>
    </w:pPr>
    <w:rPr>
      <w:rFonts w:ascii="Times New Roman" w:hAnsi="Times New Roman"/>
      <w:sz w:val="24"/>
      <w:szCs w:val="24"/>
      <w:lang w:eastAsia="ar-SA"/>
    </w:rPr>
  </w:style>
  <w:style w:type="character" w:customStyle="1" w:styleId="BodyTextChar">
    <w:name w:val="Body Text Char"/>
    <w:aliases w:val="block style Char,Body Char,b Char,Standard paragraph Char"/>
    <w:basedOn w:val="DefaultParagraphFont"/>
    <w:link w:val="BodyText"/>
    <w:rsid w:val="00875D13"/>
    <w:rPr>
      <w:rFonts w:ascii="Times New Roman" w:eastAsia="Times New Roman" w:hAnsi="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875D13"/>
    <w:rPr>
      <w:rFonts w:eastAsia="Times New Roman"/>
      <w:sz w:val="22"/>
      <w:szCs w:val="22"/>
    </w:rPr>
  </w:style>
  <w:style w:type="paragraph" w:customStyle="1" w:styleId="Default">
    <w:name w:val="Default"/>
    <w:rsid w:val="00875D13"/>
    <w:pPr>
      <w:autoSpaceDE w:val="0"/>
      <w:autoSpaceDN w:val="0"/>
      <w:adjustRightInd w:val="0"/>
    </w:pPr>
    <w:rPr>
      <w:rFonts w:ascii="Times New Roman" w:eastAsia="Times New Roman" w:hAnsi="Times New Roman"/>
      <w:color w:val="000000"/>
      <w:sz w:val="24"/>
      <w:szCs w:val="24"/>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75D13"/>
    <w:pPr>
      <w:spacing w:line="240" w:lineRule="exact"/>
    </w:pPr>
    <w:rPr>
      <w:rFonts w:eastAsia="Calibri"/>
      <w:sz w:val="20"/>
      <w:szCs w:val="20"/>
      <w:vertAlign w:val="superscript"/>
    </w:rPr>
  </w:style>
  <w:style w:type="paragraph" w:customStyle="1" w:styleId="CM1">
    <w:name w:val="CM1"/>
    <w:basedOn w:val="Default"/>
    <w:next w:val="Default"/>
    <w:uiPriority w:val="99"/>
    <w:rsid w:val="00875D13"/>
    <w:rPr>
      <w:rFonts w:ascii="EUAlbertina" w:eastAsia="Calibri" w:hAnsi="EUAlbertina"/>
      <w:color w:val="auto"/>
    </w:rPr>
  </w:style>
  <w:style w:type="paragraph" w:customStyle="1" w:styleId="CM3">
    <w:name w:val="CM3"/>
    <w:basedOn w:val="Default"/>
    <w:next w:val="Default"/>
    <w:uiPriority w:val="99"/>
    <w:rsid w:val="00875D13"/>
    <w:rPr>
      <w:rFonts w:ascii="EUAlbertina" w:eastAsia="Calibri" w:hAnsi="EUAlbertina"/>
      <w:color w:val="auto"/>
    </w:rPr>
  </w:style>
  <w:style w:type="paragraph" w:styleId="Revision">
    <w:name w:val="Revision"/>
    <w:hidden/>
    <w:uiPriority w:val="99"/>
    <w:semiHidden/>
    <w:rsid w:val="003E5E0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573710">
      <w:bodyDiv w:val="1"/>
      <w:marLeft w:val="0"/>
      <w:marRight w:val="0"/>
      <w:marTop w:val="0"/>
      <w:marBottom w:val="0"/>
      <w:divBdr>
        <w:top w:val="none" w:sz="0" w:space="0" w:color="auto"/>
        <w:left w:val="none" w:sz="0" w:space="0" w:color="auto"/>
        <w:bottom w:val="none" w:sz="0" w:space="0" w:color="auto"/>
        <w:right w:val="none" w:sz="0" w:space="0" w:color="auto"/>
      </w:divBdr>
    </w:div>
    <w:div w:id="1238631765">
      <w:bodyDiv w:val="1"/>
      <w:marLeft w:val="0"/>
      <w:marRight w:val="0"/>
      <w:marTop w:val="0"/>
      <w:marBottom w:val="0"/>
      <w:divBdr>
        <w:top w:val="none" w:sz="0" w:space="0" w:color="auto"/>
        <w:left w:val="none" w:sz="0" w:space="0" w:color="auto"/>
        <w:bottom w:val="none" w:sz="0" w:space="0" w:color="auto"/>
        <w:right w:val="none" w:sz="0" w:space="0" w:color="auto"/>
      </w:divBdr>
    </w:div>
    <w:div w:id="13253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380495-212044808-3452</_dlc_DocId>
    <_dlc_DocIdUrl xmlns="980b2c76-4eb4-4926-991a-bb246786b55e">
      <Url>https://mottmac.sharepoint.com/teams/pj-b1203/_layouts/15/DocIdRedir.aspx?ID=380495-212044808-3452</Url>
      <Description>380495-212044808-3452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8BC03-4141-4A62-B774-0FB61AA2C655}">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2.xml><?xml version="1.0" encoding="utf-8"?>
<ds:datastoreItem xmlns:ds="http://schemas.openxmlformats.org/officeDocument/2006/customXml" ds:itemID="{433E6D1E-B49D-4611-9C59-7226D20B3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8EFC78-BF60-4F73-A03B-2F96FF1ED1A2}">
  <ds:schemaRefs>
    <ds:schemaRef ds:uri="Microsoft.SharePoint.Taxonomy.ContentTypeSync"/>
  </ds:schemaRefs>
</ds:datastoreItem>
</file>

<file path=customXml/itemProps4.xml><?xml version="1.0" encoding="utf-8"?>
<ds:datastoreItem xmlns:ds="http://schemas.openxmlformats.org/officeDocument/2006/customXml" ds:itemID="{D2CFFC18-3E12-4CCE-8BC5-E9B10CA622E0}">
  <ds:schemaRefs>
    <ds:schemaRef ds:uri="http://schemas.microsoft.com/sharepoint/events"/>
  </ds:schemaRefs>
</ds:datastoreItem>
</file>

<file path=customXml/itemProps5.xml><?xml version="1.0" encoding="utf-8"?>
<ds:datastoreItem xmlns:ds="http://schemas.openxmlformats.org/officeDocument/2006/customXml" ds:itemID="{5C74157E-2D2D-44DC-B513-8D15C283675D}">
  <ds:schemaRefs>
    <ds:schemaRef ds:uri="http://schemas.microsoft.com/sharepoint/v3/contenttype/forms"/>
  </ds:schemaRefs>
</ds:datastoreItem>
</file>

<file path=customXml/itemProps6.xml><?xml version="1.0" encoding="utf-8"?>
<ds:datastoreItem xmlns:ds="http://schemas.openxmlformats.org/officeDocument/2006/customXml" ds:itemID="{39BEF555-A3C3-41EB-BC84-A6904BD5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2193</Words>
  <Characters>12721</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8</vt:lpstr>
      <vt:lpstr>ANEXA 8</vt:lpstr>
    </vt:vector>
  </TitlesOfParts>
  <Company/>
  <LinksUpToDate>false</LinksUpToDate>
  <CharactersWithSpaces>14885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8</dc:title>
  <dc:creator>Ioana Michiu</dc:creator>
  <cp:lastModifiedBy>mariana simbrian</cp:lastModifiedBy>
  <cp:revision>11</cp:revision>
  <dcterms:created xsi:type="dcterms:W3CDTF">2018-01-31T10:17:00Z</dcterms:created>
  <dcterms:modified xsi:type="dcterms:W3CDTF">2021-07-28T09:07:00Z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9fde5c23-9db3-477d-af0c-dc1dbfdc8959</vt:lpwstr>
  </property>
</Properties>
</file>